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P312.015739 vom 18. September 2013</w:t>
      </w:r>
    </w:p>
    <w:p>
      <w:r>
        <w:t>VD Tribunal cantonal, 2013-09-18, FR</w:t>
      </w:r>
    </w:p>
    <w:p>
      <w:r>
        <w:rPr>
          <w:b/>
        </w:rPr>
        <w:t xml:space="preserve">Quelle: </w:t>
      </w:r>
      <w:r>
        <w:t>https://mcp.opencaselaw.ch/entscheid/vd_gerichte_P312.015739</w:t>
      </w:r>
    </w:p>
    <w:p>
      <w:r>
        <w:t>FR: VD_GERICHTE P312.015739 du 18 septembre 2013</w:t>
      </w:r>
    </w:p>
    <w:p>
      <w:r>
        <w:t>IT: VD_GERICHTE P312.015739 del 18 settembre 2013</w:t>
      </w:r>
    </w:p>
    <w:p>
      <w:pPr>
        <w:pStyle w:val="Heading2"/>
      </w:pPr>
      <w:r>
        <w:t>Erwägungen</w:t>
      </w:r>
    </w:p>
    <w:p>
      <w:r>
        <w:rPr>
          <w:b/>
        </w:rPr>
        <w:t>E. 14</w:t>
      </w:r>
    </w:p>
    <w:p>
      <w:r>
        <w:t>décembre 2010, soit cinq jours ouvrables après la découverte du motif de congé, est ainsi tardive au regard de la réglementation sur le congé avec effet immédiat. c) Par définition, la résiliation de l’article 337 CO (Code des obligations du 30 mars 1911 ; RS 220) prend effet immédiatement dès sa communication, à défaut de quoi il s’agit d’une résiliation ordinaire au sens de l’art. 335 CO (Münch, Stellenwechsel und Entlassung, Geiser/Münch Hrsg, 1997, n° 1.24, p. 11). Un courant de la doctrine admet toutefois que la partie qui entend résilier le contrat avec effet immédiat peut faire bénéficier, pour des motifs sociaux, l’autre partie d’un délai de congé, par définition inférieur au délai ordinaire, lorsque ce délai prend en compte la situation sociale de celle-ci (Vorzeitige Kündigung). En revanche si le délai de résiliation ne sert que les intérêts de la partie qui résilie, il y a lieu d’admettre que la résiliation anticipée n’est pas admissible, car l’octroi d’un délai contredit le fondement du congé avec effet immédiat, qui est que la poursuite des rapports de travail jusqu’à l’échéance ordinaire du contrat est insupportable pour la partie qui résilie (Streiff/Von Kaenel/Rudolph, Arbeitsvertrag, 7e éd, 2012, n. 14 ad art. 337 CO, p. 1124 ; Staehelin/Vischer, op. cit., 1996, n. 40 ad art. 337 CO, p. A 636 ; Rehbinder, Berner Kommentar, 1992, n. 19 ad art. 337 CO, p. 144) En l’espèce, selon les explications du recourant, le délai de résiliation au 22 décembre 2010 fixé par le congé du 14 décembre 2010 répondait à l’impossibilité de trouver et de former un remplaçant durant cette période chargée de l’année. Il servait donc exclusivement les intérêts du recourant et l’on doit dès lors considérer, comme exposé ci- dessus, que ce délai démontre que la poursuite des rapports contractuels n’était pas insupportable pour le recourant, partant que le congé du 14 décembre 2010 n’était pas un congé avec effet immédiat au sens de l’art. 337 CO, mais un congé ordinaire devant respecter le délai de résiliation.</w:t>
      </w:r>
    </w:p>
    <w:p>
      <w:r>
        <w:t>- 9 - 4. Le recourant fait valoir que l’intimée n’a pas contesté avoir donné son accord au congé donné le 14 décembre 2010. Il soutient que cet accord est en conséquence valable et qu’il lie l’intimée. Aux termes de l’art. 341 al. 1 CO, le travailleur ne peut pas renoncer, pendant la durée du contrat et durant le mois qui suit la fin de celui-ci, aux créances résultant de dispositions impératives de la loi ou d’une convention collective. Si les remises de dettes et renonciations unilatérales sont privées de validité, il n’en n’est pas de même des renonciations que l’employeur obtient de son employé en contrepartie des prestations adéquates qu’il lui concède lors d’une transaction (TF 4A_71/2010 du 28 juin 2010 c. 4.5 et références). L’art. 341 al. 1 CO n’interdit pas aux parties de rompre en tout temps le contrat de travail d’un commun accord, à la condition cependant qu’elles ne cherchent pas ainsi à détourner une disposition impérative de la loi, ou relativement impérative comme l’art. 336c CO, ayant trait à la protection contre les congés donnés en temps inopportun. L’accord litigieux doit être interprété restrictivement et ne peut constituer un contrat de résiliation conventionnelle que dans des circonstances exceptionnelles, notamment lorsque la volonté des intéressés de se départir du contrat est établie sans équivoque (TF 4A_431/2008 du 12 janvier 2009, c. 4.3.1.1 et références ; SJ 1999 I 277 c. 2c et références). En l’espèce, si la concession de l’intimée avait résidé dans l’abandon de son droit au salaire durant le délai de congé ordinaire, on ne voit pas ce que le recourant lui aurait concédé en contrepartie. Ayant renoncé, comme admis à juste titre par les premiers juges, à résilier le contrat avec effet immédiat en tardant à réagir à l’annonce par l’intimée de son manquement, le recourant ne pouvait en particulier plus offrir à l’intimée de renoncer à un licenciement immédiat au profit d’un licenciement différé à quelque dix jours, ce qui aurait de toute manière été déséquilibré. Rien n’indique au surplus que l’intimée entendait qu’il soit mis fin au contrat. On ne saurait dans ces conditions admettre l’existence d’un accord de résiliation librement consenti.</w:t>
      </w:r>
    </w:p>
    <w:p>
      <w:r>
        <w:t>- 10 - 5. En conclusion, le recours doit être rejeté et le jugement confirmé. La valeur litigieuse ne dépassant pas 30'000 fr., le présent arrêt doit être rendu sans frais judiciaires (art. 114 let. c CPC ; Tappy, op. cit., n. 1 ad art. 114 CPC, p. 457). Par ces motifs, la Chambre des recours civile du Tribunal cantonal, statuant à huis clos, en application de l'art. 322 al. 1 CPC, prononce : I. Le recours est rejeté. II. Le jugement est confirmé. III. l’arrêt est rendu sans frais. IV. L’arrêt motivé est exécutoire. Le président : Le greffier :</w:t>
      </w:r>
    </w:p>
    <w:p>
      <w:r>
        <w:t>- 11 - Du 19 septembre 2013 Le dispositif de l'arrêt qui précède est communiqué par écrit aux intéressés. Le greffier : Du L'arrêt qui précède, dont la rédaction a été approuvée à huis clos, est notifié en expédition complète, par l'envoi de photocopies, à : - Me Yves Hofstetter (pour G.________), - Me Lionel Zeiter (pour V.________). La Chambre des recours civile considère que la valeur litigieuse est inférieure à de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