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P312.001272 vom 22. November 2012</w:t>
      </w:r>
    </w:p>
    <w:p>
      <w:r>
        <w:t>VD Tribunal cantonal, 2012-11-22, FR</w:t>
      </w:r>
    </w:p>
    <w:p>
      <w:r>
        <w:rPr>
          <w:b/>
        </w:rPr>
        <w:t xml:space="preserve">Quelle: </w:t>
      </w:r>
      <w:r>
        <w:t>https://mcp.opencaselaw.ch/entscheid/vd_gerichte_P312.001272</w:t>
      </w:r>
    </w:p>
    <w:p>
      <w:r>
        <w:t>FR: VD_GERICHTE P312.001272 du 22 novembre 2012</w:t>
      </w:r>
    </w:p>
    <w:p>
      <w:r>
        <w:t>IT: VD_GERICHTE P312.001272 del 22 novembre 2012</w:t>
      </w:r>
    </w:p>
    <w:p>
      <w:pPr>
        <w:pStyle w:val="Heading2"/>
      </w:pPr>
      <w:r>
        <w:t>Erwägungen</w:t>
      </w:r>
    </w:p>
    <w:p>
      <w:r>
        <w:rPr>
          <w:b/>
        </w:rPr>
        <w:t>E. 1</w:t>
      </w:r>
    </w:p>
    <w:p>
      <w:r>
        <w:t>CPC). En l'espèce, formé en temps utile par une partie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 S'agissant de la constatation manifestement inexacte des faits, ce grief, comme pour l'art. 97 al. 1 LTF (loi du 17 juin 2005 sur le Tribunal fédéral; RS 173.110), ne permet que de corriger une erreur évidente, la</w:t>
      </w:r>
    </w:p>
    <w:p>
      <w:r>
        <w:t>- 7 -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soutient en substance que les premiers juges ne pouvaient pas retenir les heures supplémentaires annoncées par l'intimé, faute de preuves (pièces, témoignages). Il relève en outre que, lorsque l'intimé avait fait valoir ses prétentions par l'intermédiaire du syndicat, il n'avait pas réclamé le paiement d'heures supplémentaires, ce qui démontrerait que celles-ci n'existaient en réalité pas. b) Selon l'art. 247 al. 2 CPC, dans les litiges résultant du contrat de travail dont la valeur litigieuse ne dépasse pas 30'000 fr., le juge établit d'office les faits. Selon la jurisprudence rendue sous l'ancien droit en matière de conflit du travail (art. 343 CO [Code des obligations du 30 mars 1911; RS 220]), également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w:t>
      </w:r>
    </w:p>
    <w:p>
      <w:r>
        <w:t>- 8 - partie renonce à expliquer sa position. Il doit en particulier s'assurer que leurs allégations de parties et leurs offres de preuve sont complètes, mais il n'est tenu de le faire que s'il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5C.228/2003 du 6 janvier 2004 c. 3.1 et les références citées). Enfin, la maxime inquisitoire sociale ne modifie pas la répartition du fardeau de la preuve (TF 4C.441/2006 du 23 mars 2007 c. 4.3.1). c) En l'espèce, en reprochant aux premiers juges d'avoir retenu, en se fondant sur les seules déclarations du demandeur, non étayées par des pièces, que ce dernier avait effectué des heures supplémentaires nécessaires pour l'employeur – donc indemnisables (ATF 129 III 171 c. 2.2) - le recourant critique en réalité l'appréciation des preuves effectuée par le tribunal. Pour arrêter le nombre d'heures supplémentaires, les premiers juges se sont fiés aux déclarations de l'intimé. Celui-ci a indiqué avoir effectué en moyenne 68 heures de travail par semaine, qu'il travaillait six jours sur sept, et qu'il disposait d'un week-end de libre toutes les deux semaines. Chaque jour comptait 11,5 heures de travail (de 5h00 à 8h00, de 8h30 à 12h00 et de 14h00 à 19h00) et le dimanche, la durée du travail était ramenée à 9h30, ce qui correspond bien à une moyenne de 68 heures de travail par semaine. Selon l'Arrêté établissant un contrat-type de travail pour l'agriculture du 3 avril 2000 (ci-après : ACTT-agr; RSV</w:t>
      </w:r>
    </w:p>
    <w:p>
      <w:r>
        <w:t>- 9 - 222.55.1), la durée hebdomadaire de travail est de 52 heures en moyenne sur l'année pour les exploitations qui pratiquent l'élevage de bétail (art. 12 ACTT-agr). Pour un taux d'activité de 70 %, que le recourant ne conteste pas, la durée hebdomadaire de travail est ainsi censée comprendre 36,4 heures. L'intimé effectuait donc 32 heures de plus que son horaire normal; sur les 16 semaines qu'ont duré les rapports de travail, cela représente 512 heures de plus que l'horaire normal (68h – 36h = 32h; 32h x 16 semaines = 512h). Lorsque, comme en l'espèce, l'employeur ne met sur pied aucun système de contrôle des horaires et qu'il n'exige pas du travailleur qu'il établisse un décompte des heures travaillées, le Tribunal fédéral admet la production de relevés personnels que le travailleur a établi pour prouver le nombre d'heures supplémentaires effectuées (TF 4C.141/2006 du 24 août 2006 c. 4.2.3). Même si une réserve s'impose, s'agissant de décomptes unilatéraux, on doit observer que le recourant ne conteste pas les autres prétentions de l'intimé. Il admet ainsi une part impayée du salaire pour la période du 26 février au 25 mars 2011 et du 26 au 31 mars 2011; il admet aussi le paiement du solde du droit au vacances et des indemnités pour les jours fériés travaillés. On voit ainsi, d'une part, que les prétentions de l'intimé sont réelles et, d'autre part, que le recourant s'est permis diverses dérogations au contrat-type de travail et aux conditions générales des rapports de travail. Outre ce qui précède, on relève l'absence de fiches de paye avec les déductions pour les assurances sociales et la détention sans droit de la carte AVS de l'intimé. Au vu de ces circonstances, et si l'on y ajoute le fait que le recourant s'est totalement désintéressé de la procédure, les premiers juges pouvaient se satisfaire du décompte présenté par le demandeur. En effet, à défaut de collaboration des parties, le procès peut être clos, car la maxime inquisitoire atténuée sert à favoriser une procédure accessible à des non-juristes, non à suppléer les carences d'une partie négligente ou refusant de s'exprimer (Tappy, CPC commenté, 2011, n. 23 ad art. 247 CPC). Il s'ensuit que le recourant, qui ne s'est pas manifesté durant toute la procédure de première instance, est malvenu de se plaindre du fait que les premiers juges n'aient pas instruit plus avant la question des heures</w:t>
      </w:r>
    </w:p>
    <w:p>
      <w:r>
        <w:t>- 10 - supplémentaires réclamées par l'intimé. Un défaut de collaboration lui est opposable. Pour le surplus, le recourant se borne à procéder par affirmations et non par démonstration, ce qui est d'autant plus irrecevable dans le cadre d'un recours limité au droit. Il importe peu que l'intimé n'ait pas réclamé, dans sa lettre du 11 avril 2011, le montant des heures supplémentaires. Dès lors que l'intimé, par son syndicat, se réservait "d'amplifier sa demande", on comprend que ce dernier limitait volontairement ses prétentions dans un souci de régler rapidement et amiablement le litige le divisant d'avec le recourant. En conséquence, le moyen du recourant doit être rejeté.</w:t>
      </w:r>
    </w:p>
    <w:p>
      <w:r>
        <w:rPr>
          <w:b/>
        </w:rPr>
        <w:t>E. 4</w:t>
      </w:r>
    </w:p>
    <w:p>
      <w:r>
        <w:t>En définitive, le recours doit être rejeté en application de l'art. 322 al. 1 in fine CPC et le jugement confirmé. S'agissant d'un litige en droit du travail dont la valeur litigieuse n'excède pas 30'000 fr., l'arrêt est rendu sans frais judiciaires de deuxième instance (art. 114 let. c CPC). L'intimé n'ayant pas été invité à se déterminer (art. 322 al. 1 in fine CPC), il n'y a pas lieu d'allouer de dépens. Par ces motifs, la Chambre des recours civile du Tribunal cantonal, statuant à huis clos, en application de l'art. 322 al. 1 CPC, prononce : I. Le recours est rejeté. II. Le jugement est confirmé. III. L'arrêt est rendu sans frais.</w:t>
      </w:r>
    </w:p>
    <w:p>
      <w:r>
        <w:t>- 11 - IV. L'arrêt motivé est exécutoire. Le président : La greffière : Du 22 novembre 2012 Le dispositif de l'arrêt qui précède est communiqué par écrit aux intéressés. La greffière : Du L'arrêt qui précède, dont la rédaction a été approuvée à huis clos, est notifié en expédition complète, par l'envoi de photocopies, à : - Me Yann Jaillet, avocat (pour W.________), - M. [...], L'autre syndicat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