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P311.049499 vom 16. November 2012</w:t>
      </w:r>
    </w:p>
    <w:p>
      <w:r>
        <w:t>VD Tribunal cantonal, 2012-11-16, FR</w:t>
      </w:r>
    </w:p>
    <w:p>
      <w:r>
        <w:rPr>
          <w:b/>
        </w:rPr>
        <w:t xml:space="preserve">Quelle: </w:t>
      </w:r>
      <w:r>
        <w:t>https://mcp.opencaselaw.ch/entscheid/vd_gerichte_P311.049499</w:t>
      </w:r>
    </w:p>
    <w:p>
      <w:r>
        <w:t>FR: VD_GERICHTE P311.049499 du 16 novembre 2012</w:t>
      </w:r>
    </w:p>
    <w:p>
      <w:r>
        <w:t>IT: VD_GERICHTE P311.049499 del 16 novembre 2012</w:t>
      </w:r>
    </w:p>
    <w:p>
      <w:pPr>
        <w:pStyle w:val="Heading2"/>
      </w:pPr>
      <w:r>
        <w:t>Erwägungen</w:t>
      </w:r>
    </w:p>
    <w:p>
      <w:r>
        <w:rPr>
          <w:b/>
        </w:rPr>
        <w:t>E. 5</w:t>
      </w:r>
    </w:p>
    <w:p>
      <w:r>
        <w:t>Le 9 juin 2011, N.________SA a fait notifier à L.________ par l'Office des poursuites du district du Jura – Nord vaudois, un commandement de payer n° [...] pour une somme de 7'800 fr. portant intérêt à 5 % l'an dès le 31 mai 2011, au titre d'indemnité pour abandon d'emploi. L.________ a fait opposition.</w:t>
      </w:r>
    </w:p>
    <w:p>
      <w:r>
        <w:rPr>
          <w:b/>
        </w:rPr>
        <w:t>E. 6</w:t>
      </w:r>
    </w:p>
    <w:p>
      <w:r>
        <w:t>Le 28 juin 2011, L.________ a assigné N.________SA en conciliation devant le Tribunal de prud'hommes de l'arrondissement de Lausanne aux fins d'obtenir le paiement de 15'866 fr. 50 et la radiation de la poursuite n° [...].N.________SA a pris des conclusions reconventionnelles</w:t>
      </w:r>
    </w:p>
    <w:p>
      <w:r>
        <w:t>- 5 - en paiement de 7'800 fr. plus intérêt; elle a en outre requis la mainlevée définitive de l'opposition interjetée au commandement de payer n° [...]. La tentative de conciliation n'ayant pas abouti, une autorisation de procéder a été délivrée aux parties le 27 juillet 2011. Par demande du 17 octobre 2011, L.________ a pris, avec suite de frais et dépens, les conclusions suivantes : "(…) la défenderesse, l'entreprise N.________SA, est débitrice du demandeur, L.________ 1. De SFr. 6'113.10,- bruts pour les salaires des mois de janvier à avril 2011 (treizième inclus) 2. De SFr. 1'997.05,- bruts pour les indemnités APG du 20 au 30 avril 2011 3. De SFr. 2'446.50,- bruts pour les vacances non prises de l'année 2011 4. De SFr. 5'309.85,- bruts pour les heures supplémentaires de 2007 à 2011 5. Radiation de la poursuite du 31 mai 2011 Soit la somme de SFr. 15'866.50,- bruts. En outre le demandeur conclut au rejet de l'ensemble des conclusions prises par la partie défenderesse dans son acte de procédure du 21 juillet 2011. (…)" Le 27 octobre 2011, N.________SA a également déposé une demande, par laquelle elle a pris, avec suite de frais et dépens, les conclusions suivantes : "I Que L.________ est débiteur de N.________SA et lui doit immédiat paiement de la somme de fr. 7'800.00 (sept mille huit cents francs), plus intérêt à 5 % dès le 31 mai 2011. II Qu'en conséquence, l'opposition totale formulée au commandement de payer, poursuite no [...] de l'office du Jura- Nord vaudois, notifié le 9 juin 2011, est levée définitivement dans cette mesure, libre cours étant laissé à cet acte."</w:t>
      </w:r>
    </w:p>
    <w:p>
      <w:r>
        <w:t>- 6 - Dans sa réponse du 16 mai 2012, N.________SA a conclu au rejet des conclusions prises par L.________ dans sa demande du 17 octobre 2011. En d roit : 1. L'appel est recevable contre les décisions finales de première instance (art. 308 al. 1 let a CPC [Code de procédure civile suisse du 19 décembre 2008; RS 272] au sens de l'art. 236 CPC), dans les causes patrimoniales dont la valeur litigieuse dépasse 10'000 francs (art. 308 al. 2 CPC). Formé en temps utile (cf. art. 311 al. 1 CPC) par une partie qui y a intérêt (cf. art. 59 al. 2 let. a CPC) dans une cause patrimoniale dont la valeur litigieuse, au dernier état des conclusions devant l'autorité précédente, dépasse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ibid., p. 135). 3. L'appelant requiert le montant de 5'309 fr. 85 au titre de paiement des heures supplémentaires. Il réclame ainsi la différence entre les heures contractuellement effectuées, soit 44 heures 30 par semaine,</w:t>
      </w:r>
    </w:p>
    <w:p>
      <w:r>
        <w:t>- 7 - et celles prévues par la CCT, de 41 heures par semaine maximum selon lui. a) Les heures supplémentaires sont définies comme les heures de travail effectuées au-delà de l'horaire contractuel (ATF 126 III 337 c. 6b). Par heures supplémentaires, on entend celles qui sont effectuées au- delà de la durée normale du travail, qu'elles soient convenues de manière contractuelle, tacite, par une convention collective ou encore par ce qui est usuel au sein de l'entreprise (Wyler, Droit du travail, 2008, p. 116). Selon l'art. 357 al. 2 CO (Code des obligations du 30 mars 1911; RS 220), en tant qu'ils dérogent à des clauses impératives, les accords entre employeurs et travailleurs liés par une convention collective sont nuls et remplacés par ces clauses; toutefois, les dérogations stipulées en faveur des travailleurs sont valables. Le principe du caractère impératif des dispositions collectives est ainsi limité par celui de la clause la plus favorable, qui revient à déterminer si les conditions faites au travailleur par un règlement individuel sont plus avantageuses que celles de la CCT (ATF 4C.269/2001 du 16 novembre 2001 c. 4b et la réf. citée). Seule une comparaison partant de critères objectifs permet de dire si les conditions faites au travailleur par un règlement individuel sont plus favorables que celles de la convention collective de travail. Il ne faut cependant pas procéder à une comparaison globale entre la convention collective de travail et le contrat individuel de travail; la méthode appropriée est au contraire une comparaison dite par secteurs ("Gruppenvergleich"). Celle-ci met en balance de manière étroite les dispositions de la CCT et du contrat individuel de travail ayant le même objet (ATF 134 III 399, JT 2008 I 535; ATF 116 II 153, JT 1991 I 49). Les dispositions fixant l'horaire de travail sont des clauses normatives qu'il convient d'interpréter selon les mêmes principes que ceux régissant les textes de loi (ATF 127 III 318 c. 2, JT 2001 I 381). Selon la jurisprudence constante, la loi s'interprète en premier lieu selon sa lettre. Les autorités chargées de son application sont liées par un texte clair qui ne prête pas à discussion, pour autant qu'il n'aille pas à l'encontre</w:t>
      </w:r>
    </w:p>
    <w:p>
      <w:r>
        <w:t>- 8 - du sens véritable de la norme. Il est ainsi admissible, voire obligatoire, de s'écarter d'un texte clair, lorsque des raisons objectives permettent de penser que celui-ci ne correspond pas à la portée véritable de la disposition. De telles raisons peuvent découler de l'élaboration de la norme, de son esprit et de son but, ou de ses liens avec d'autres dispositions. Il est également possible de déroger au texte de la loi, lorsque son interprétation conduit à un résultat que le législateur ne peut avoir voulu (ATF 127 III 318 c. 2b, JT 2001 I 381; ATF 124 III 266 c. 4, JT 1999 I 414). b) En l'espèce, il n'est pas contesté que la CCT romande du second œuvre du 21 décembre 2006 s'applique aux relations de travail des parties. Aux termes de l'art. 12 al. 1 CCT, la durée hebdomadaire moyenne de travail est de 41 heures (let. a). L'entreprise a la faculté de fixer la durée hebdomadaire de travail à 39 heures au minimum et 45 heures au maximum, du lundi au vendredi. La tranche horaire ordinaire se situe entre 6 heures et 22 heures (let. b). Selon l'art. 16 CCT, les heures supplémentaires sont celles ordonnées et exécutées en plus de l'horaire conventionnel défini à l'art. 12 al. 1. Le contrat de travail liant les parties prévoit une durée quotidienne de travail de neuf heures, de 7 heures à 12 heures et de 13 heures 30 à 17 heures 30, excepté le vendredi jusqu'à 17 heures, soit un total de 44 heures 30 par semaine. Il résulte ainsi du contrat de travail que l'employeur a usé de la faculté qui lui était offerte par l'art. 12 al. 1 let. b CCT en fixant la durée hebdomadaire de travail à 44 heures 30. En effet, contrairement à ce qui a été retenu par les premiers juges, l'horaire de 41 heures ne constitue, selon la CCT, qu'une moyenne, la durée maximale étant arrêtée 45 heures. De plus, au regard du texte de la CCT, il n'y a pas d'heures supplémentaires, l'art. 16 CCT prévoyant précisément que les heures supplémentaires sont les heures qui sont ordonnées et exécutées en plus de l'horaire conventionnel défini à l'art. 12 al. 1, lequel inclut non seulement la let. a, mais également la let. b, qui est applicable en</w:t>
      </w:r>
    </w:p>
    <w:p>
      <w:r>
        <w:t>- 9 - l'occurrence. Le texte de la CCT à ce sujet est clair et ne prête absolument pas à discussion. En prévoyant un horaire de 44 heures 30, l'intimée n'a pas dérogé à une clause impérative de la CCT, de sorte que l'accord des parties au sujet de l'horaire de travail ne saurait être considéré comme nul. En conclusion, l'appelant n'a en réalité effectué aucune heure supplémentaire et ses griefs doivent être rejetés. 4. En définitive, l'appel doit être rejeté dans la procédure de l'art. 312 al. 1 CPC et le jugement attaqué confirmé. S'agissant d'un litige portant sur un contrat de travail dont la valeur litigieuse est inférieure à 30'000 fr., il ne sera pas perçu de frais judiciaires (cf. art. 114 let. c CPC). Il n'est pas alloué de dépens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