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P311.032411 vom 17. Juni 2013</w:t>
      </w:r>
    </w:p>
    <w:p>
      <w:r>
        <w:t>VD Tribunal cantonal, 2013-06-17, FR</w:t>
      </w:r>
    </w:p>
    <w:p>
      <w:r>
        <w:rPr>
          <w:b/>
        </w:rPr>
        <w:t xml:space="preserve">Quelle: </w:t>
      </w:r>
      <w:r>
        <w:t>https://mcp.opencaselaw.ch/entscheid/vd_gerichte_P311.032411</w:t>
      </w:r>
    </w:p>
    <w:p>
      <w:r>
        <w:t>FR: VD_GERICHTE P311.032411 du 17 juin 2013</w:t>
      </w:r>
    </w:p>
    <w:p>
      <w:r>
        <w:t>IT: VD_GERICHTE P311.032411 del 17 giugno 2013</w:t>
      </w:r>
    </w:p>
    <w:p>
      <w:pPr>
        <w:pStyle w:val="Heading2"/>
      </w:pPr>
      <w:r>
        <w:t>Erwägungen</w:t>
      </w:r>
    </w:p>
    <w:p>
      <w:r>
        <w:rPr>
          <w:b/>
        </w:rPr>
        <w:t>E. 5</w:t>
      </w:r>
    </w:p>
    <w:p>
      <w:r>
        <w:t>Il convient encore d’examiner les prétentions pécuniaires de l’appelant. a) L’art. 337c CO prévoit qu’en cas de licenciement immédiat injustifié,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 aa) L’imputation prévue à l'art. 337c al. 2 CO est une expression du principe général selon lequel celui qui subit un dommage doit faire tout ce que l’on peut raisonnablement exiger de lui pour le réduire. Lorsque le travailleur obtient des indemnités de chômage en vertu du droit suisse, les prestations touchées ne sont pas imputées sur le salaire dû par l’employeur en vertu de l’art. 337c al. 2 CO, mais la caisse de chômage est légalement subrogée au travailleur en application de l’art. 29 LACI (loi sur l'assurance-chômage obligatoire et l'indemnité en cas d'insolvabilité du 25 juin 1982; RS 837). Ce système de subrogation pour les prestations versées par une caisse de chômage suisse a pour effet de libérer le débiteur envers le créancier à concurrence de la prestation faite par le tiers, celui-ci devenant le cessionnaire légal de la créance (Brühwiler, Kommentar zum Einzelarbeitsvertrag, 2e éd., 1996, n. 5 ad art. 337c CO, p. 385; Streiff/von Kaenel/Rudolph, Arbeitsvertrag, 7e éd., 2012, n. 11 ad art. 337c CO; Munoz, La fin du contrat individuel de travail et le droit aux indemnités de l’assurance-chômage, thèse, Lausanne 1992, p. 197). Cette cession légale a pour effet de transférer la qualité de</w:t>
      </w:r>
    </w:p>
    <w:p>
      <w:r>
        <w:t>- 17 - créancier de l’assuré à la caisse de chômage (art. 166 CO; ATF 123 V 75 c. 2c et les réf. citées). La caisse est subrogée à l’assuré dans tous ses droits, y compris procéduraux, à l’encontre de l’ex-employeur, jusqu’à concurrence du total des indemnités journalières versées pour la durée du préavis non respecté. Une fois la subrogation survenue, l’assuré n’est plus titulaire de cette partie de sa prétention (ATF 8C_787/2009 du 1er juin 2010 c. 3.1; Gloor, in Dunand/Mahon [éd.], Commentaire du contrat de travail, n. 18 ad art. 337c). ab) L’indemnité au sens de l’art: 337c al. 3 CO est due, en principe, dans tous les cas de licenciement immédiat et injustifié. Une éventuelle exception doit répondre à des circonstances particulières, qui ne dénotent aucune faute de l’employeur et qui ne lui sont pas non plus imputables pour d’autres raisons (ATF 116 Il 300 c. 5a; voir aussi ATF 121 III 64 c. 3c; ATF 120 lI 243 c. 3e). L’indemnité est évaluée d’après la gravité de l’atteinte portée aux droits de la personnalité du travailleur; d’autres critères tels la durée des rapports de travail, l’âge du lésé, sa situation sociale, une éventuelle faute concomitante (ATF 121 III 64 c. 3) et les effets économiques du licenciement (ATF 123 III 391 c. 3c) entrent aussi en considération. Une éventuelle faute concomitante du travailleur est prise en considération et peut donner lieu à réduction, voire à une suppression de l’indemnité, lorsque la faute du travailleur est grave, mais insuffisamment pour justifier le licenciement avec effet immédiat (Wyler, op. cit., p. 517). ba) L’appelant requiert 11’900 fr. à titre de salaire pour la période du 7 septembre 2010 au 30 novembre 2010 et 989 fr. 80 pour les vacances. Le délai de congé étant en l'occurrence de deux mois (cf. art. 335c al. 1 CO), l’appelant a droit à son salaire jusqu’au 30 novembre 2010, soit 11’900 fr. brut, qui correspondent à 3’400 fr. pour le mois de septembre 2010, à 4’250 fr. pour le mois d’octobre 2010 et à 4’250 fr. pour le mois de novembre 2010. Toutefois, il résulte des pièces du dossier</w:t>
      </w:r>
    </w:p>
    <w:p>
      <w:r>
        <w:t>- 18 - que l’appelant a touché 1’162 fr. de la caisse cantonal de chômage pour le mois de novembre 2010. Or, ce montant ne peut être alloué à l’appelant, dès lors que la caisse de chômage, en raison de la subrogation légale, est devenue titulaire à concurrence de 1’162 fr. de la créance que l’employé a fait valoir contre son employeur. Ainsi, l’appelant a droit à un montant total brut de 10’738 fr. (3’400 fr. + 4’250 fr. + 4’250 fr. - 1’162 fr.), duquel il convient de déduire les prestations sociales. Il a également droit à un montant de 989 fr. 80 brut pour les vacances; en effet, le salaire d’un jour de vacances est en l'espèce de 212 fr. 40 (4’250 fr. x 12 mois x 8.33 % / 20 jours). Il a ainsi droit à 4.66 jours de vacances pour les mois de septembre à novembre 2010. bb) L’appelant conclut également à l’octroi d’une indemnité de 12’750 fr. correspondant à trois mois de salaire. Compte tenu de la durée des rapports de travail, à savoir environ une année et demie, de l’atteinte à la personnalité du travailleur, du fait que celui-ci s’est retrouvé au chômage et de son comportement durant les rapports de travail, le montant alloué à titre d’indemnité au sens de l’art. 337c al. 3 CO ne saurait dépasser un mois de salaire. En définitive, le montant alloué à l'appelant de ce chef doit ainsi être arrêté à 4'250 fr. net, avec intérêt à 5% l'an dès le 6 septembre 2010 (art. 104 al. 1 CO).</w:t>
      </w:r>
    </w:p>
    <w:p>
      <w:r>
        <w:rPr>
          <w:b/>
        </w:rPr>
        <w:t>E. 6</w:t>
      </w:r>
    </w:p>
    <w:p>
      <w:r>
        <w:t>En conclusion, l’appel doit être admis et le jugement entrepris réformé dans le sens des considérants. Il n’est pas perçu de frais judiciaires s’agissant d’un litige portant sur un contrat de travail dont la valeur litigieuse est inférieure à 30’000 fr. (art. 114 let. c CPC).</w:t>
      </w:r>
    </w:p>
    <w:p>
      <w:r>
        <w:t>- 19 - L’intimée doit verser à l’appelant la somme de 2'000 fr. à titre de dépens de deuxième instance (art. 95 al. 1 et 106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