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P311.013277 vom 5. April 2012</w:t>
      </w:r>
    </w:p>
    <w:p>
      <w:r>
        <w:t>VD Tribunal cantonal, 2012-04-05, FR</w:t>
      </w:r>
    </w:p>
    <w:p>
      <w:r>
        <w:rPr>
          <w:b/>
        </w:rPr>
        <w:t xml:space="preserve">Quelle: </w:t>
      </w:r>
      <w:r>
        <w:t>https://mcp.opencaselaw.ch/entscheid/vd_gerichte_P311.013277</w:t>
      </w:r>
    </w:p>
    <w:p>
      <w:r>
        <w:t>FR: VD_GERICHTE P311.013277 du 5 avril 2012</w:t>
      </w:r>
    </w:p>
    <w:p>
      <w:r>
        <w:t>IT: VD_GERICHTE P311.013277 del 5 aprile 2012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En conclusion, l'appel peut être rejeté dans la procédure de l'art. 312 al. 1 CPC et le jugement attaqué confirmé.</w:t>
      </w:r>
    </w:p>
    <w:p>
      <w:r>
        <w:t>- 10 - L'arrêt est rendu sans frais, le litige portant sur un contrat de travail dont la valeur litigieuse est inférieure à 30'000 fr. (art. 114 let. c CPC). Il n'est pas alloué de dépens de deuxième instance, dès lors que l'intimé n'a pas été invité à se déterminer sur l'appel.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