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OF19.045602 vom 27. November 2019</w:t>
      </w:r>
    </w:p>
    <w:p>
      <w:r>
        <w:t>VD Tribunal cantonal, 2019-11-27, FR</w:t>
      </w:r>
    </w:p>
    <w:p>
      <w:r>
        <w:rPr>
          <w:b/>
        </w:rPr>
        <w:t xml:space="preserve">Quelle: </w:t>
      </w:r>
      <w:r>
        <w:t>https://mcp.opencaselaw.ch/entscheid/vd_gerichte_OF19.045602</w:t>
      </w:r>
    </w:p>
    <w:p>
      <w:r>
        <w:t>FR: VD_GERICHTE OF19.045602 du 27 novembre 2019</w:t>
      </w:r>
    </w:p>
    <w:p>
      <w:r>
        <w:t>IT: VD_GERICHTE OF19.045602 del 27 novembre 2019</w:t>
      </w:r>
    </w:p>
    <w:p>
      <w:pPr>
        <w:pStyle w:val="Heading2"/>
      </w:pPr>
      <w:r>
        <w:t>Erwägungen</w:t>
      </w:r>
    </w:p>
    <w:p>
      <w:r>
        <w:rPr>
          <w:b/>
        </w:rPr>
        <w:t>E. 1</w:t>
      </w:r>
    </w:p>
    <w:p>
      <w:r>
        <w:t>W.________, née le [...] 1971, est domiciliée à [...]. Elle est la fille de feu [...], décédée le [...] 2016, et de feu [...], décédé le [...] 2019.</w:t>
      </w:r>
    </w:p>
    <w:p>
      <w:r>
        <w:rPr>
          <w:b/>
        </w:rPr>
        <w:t>E. 1.1</w:t>
      </w:r>
    </w:p>
    <w:p>
      <w:r>
        <w:t>Le recours est dirigé contre une décision de la justice de paix instituant une curatelle de représentation (art. 394 al. 1 CC) et de gestion (art. 395 al. 1 CC) en faveur de W.________ (ci-après : la recourante),</w:t>
      </w:r>
    </w:p>
    <w:p>
      <w:r>
        <w:t>- 5 - laquelle demande le « retrait », respectivement « l’annulation » de cette décision « avec effet immédiat ».</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6e éd., Bâle 2018, n. 42 ad art. 450 CC, p. 2825).</w:t>
      </w:r>
    </w:p>
    <w:p>
      <w:r>
        <w:rPr>
          <w:b/>
        </w:rPr>
        <w:t>E. 1.3</w:t>
      </w:r>
    </w:p>
    <w:p>
      <w:r>
        <w:t>En l’espèce, motivé et interjeté en temps utile par la personne concernée, le présent recours est recevable. Il apparaît par ailleurs que les termes « avec effet immédiat » contenus dans le recours équivalent à une requête de restitution de l’effet suspensif, dont le sort est lié à celui du recours (cf. infra consid. 6.2).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[Code de procédure civile du 19 décembre 2008 ; RS 272], applicable par renvoi des art. 450f CC et 20 LVPAE). Selon les situations, le recours sera par</w:t>
      </w:r>
    </w:p>
    <w:p>
      <w:r>
        <w:t>- 6 - conséquent réformatoire ou cassatoire (Guide pratique COPMA 2012, op. cit., n. 12.39, p. 290). 3.</w:t>
      </w:r>
    </w:p>
    <w:p>
      <w:r>
        <w:rPr>
          <w:b/>
        </w:rPr>
        <w:t>E. 2</w:t>
      </w:r>
    </w:p>
    <w:p>
      <w:r>
        <w:t>Par courrier du 27 août 2019, Me S.________, mandatée par la personne concernée pour la représenter dans le cadre de la succession de sa mère, a fait savoir que sa mandante semblait avoir besoin d’aide pour la gestion de ses affaires. Elle a exposé que celle-ci souffrait de problèmes psychiques depuis de nombreuses années et qu’elle était seule héritière de ses deux parents, dont elle allait prochainement hériter d’un appartement à [...], ainsi que de liquidités de l’ordre de 300'000 fr. à 400'000 francs. Me S.________ a relevé que l’intéressée se sentait dépassée par la situation depuis le décès de son père et qu’elle ne faisait plus confiance à son compagnon. S’interrogeant sur les capacités de sa mandante et faisant part de sa crainte que celle-ci subisse l’influence de</w:t>
      </w:r>
    </w:p>
    <w:p>
      <w:r>
        <w:t>- 4 - tiers, l’avocate a sollicité l’institution d’une curatelle en faveur de l’intéressée, afin de l’aider dans le cadre de la liquidation de la succession de son père et dans l’organisation de son déménagement à [...], où elle projetait de se réinstaller.</w:t>
      </w:r>
    </w:p>
    <w:p>
      <w:r>
        <w:rPr>
          <w:b/>
        </w:rPr>
        <w:t>E. 3</w:t>
      </w:r>
    </w:p>
    <w:p>
      <w:r>
        <w:t>Dans un rapport médical établi le 12 septembre 2019, le Dr [...], médecin généraliste à [...], a fait savoir que W.________ était connue depuis plus de vingt ans pour un trouble schizophrénique, qu’elle présentait une personnalité fragile et anxieuse et qu’elle avait besoin de s’appuyer sur quelqu’un. Le médecin a indiqué que, selon lui, l’intéressée pourrait facilement agir contre ses intérêts si elle subissait la pression d’une personne de confiance et que si elle disposait certes de sa capacité de discernement lorsqu’elle se trouvait dans une situation calme, elle pourrait toutefois la perdre en cas de situation stressante. Sur la base de ces constatations, le médecin a indiqué soutenir pleinement l’institution d’une curatelle en faveur de l’intéressée.</w:t>
      </w:r>
    </w:p>
    <w:p>
      <w:r>
        <w:rPr>
          <w:b/>
        </w:rPr>
        <w:t>E. 3.1</w:t>
      </w:r>
    </w:p>
    <w:p>
      <w:r>
        <w:t>Conformément à l’art. 450d CC, la Chambre des curatelles donne à la justice de paix (art. 4 al. 1 LVPAE) l’occasion de prendre position (al. 1), cette autorité pouvant, au lieu de prendre position, reconsidérer sa décision (al. 2).</w:t>
      </w:r>
    </w:p>
    <w:p>
      <w:r>
        <w:rPr>
          <w:b/>
        </w:rPr>
        <w:t>E. 3.2</w:t>
      </w:r>
    </w:p>
    <w:p>
      <w:r>
        <w:t>Le recours étant manifestement mal fondé, au vu des considérations qui seront développées ci-après, il a en l’espèce été renoncé à consulter l'autorité de protection (art. 322 al. 1 CPC applicable par renvoi de l’art. 450f CC).</w:t>
      </w:r>
    </w:p>
    <w:p>
      <w:r>
        <w:rPr>
          <w:b/>
        </w:rPr>
        <w:t>E. 4</w:t>
      </w:r>
    </w:p>
    <w:p>
      <w:r>
        <w:t>Une audience s’est tenue le 19 septembre 2019 devant la justice de paix. A cette occasion, W.________ a été entendue. Elle a notamment déclaré consentir à la requête de curatelle formée par son avocate et a confirmé avoir besoin d’aide pour la gestion de ses affaires. Elle a en outre indiqué être désormais séparée de son compagnon, en lequel elle n’avait plus confiance. L’intéressée a précisé qu’elle avait changé le code de ses cartes bancaires et a également déclaré ne pas penser qu’elle ferait des dépenses inconsidérées, ajoutant qu’en cas de dépense importante, elle consulterait préalablement son curateur. En d roit : 1.</w:t>
      </w:r>
    </w:p>
    <w:p>
      <w:r>
        <w:rPr>
          <w:b/>
        </w:rPr>
        <w:t>E. 4.1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2002, nn. 3 et 4 ad art. 492 CPC-VD [Code de procédure civile vaudois du 14 décembre 1966, aujourd'hui abrogé], p. 763, point de vue qui demeure valable sous l'empire du nouveau droit). La personne concernée doit être entendue personnellement, à moins que son audition ne paraisse disproportionnée (art. 447 al. 1 CC).</w:t>
      </w:r>
    </w:p>
    <w:p>
      <w:r>
        <w:rPr>
          <w:b/>
        </w:rPr>
        <w:t>E. 4.2</w:t>
      </w:r>
    </w:p>
    <w:p>
      <w:r>
        <w:t>En l'espèce, le premier juge a procédé à l'audition de la recourante lors de l’audience du 19 septembre 2019, de sorte que le droit d'être entendue de celle-ci a été respecté.</w:t>
      </w:r>
    </w:p>
    <w:p>
      <w:r>
        <w:t>- 7 - L’ordonnance entreprise, formellement correcte, peut donc être examinée sur le fond.</w:t>
      </w:r>
    </w:p>
    <w:p>
      <w:r>
        <w:rPr>
          <w:b/>
        </w:rPr>
        <w:t>E. 5.1</w:t>
      </w:r>
    </w:p>
    <w:p>
      <w:r>
        <w:t>La recourante conteste l’institution d’une curatelle de représentation et de gestion en sa faveur. Elle fait valoir qu'elle souhaite s'occuper elle-même de son patrimoine, ce qu’elle soutient faire depuis des années sans que, selon elle, cela ne pose de problème. Elle explique avoir tenu des propos déplacés, qu'elle regrette, envers un certain « Monsieur F.________ ». La recourante indique par ailleurs ne plus vouloir déménager de [...] à [...] et explique avoir rencontré des problèmes avec son père dans le cadre de la succession de sa mère ainsi qu’avoir été affectée par la fin de vie de celui-ci. La recourante dit se sentir désormais mieux et assure ne souffrir d’aucune déficience mentale, pas plus que de démence ou de faiblesse.</w:t>
      </w:r>
    </w:p>
    <w:p>
      <w:r>
        <w:rPr>
          <w:b/>
        </w:rPr>
        <w:t>E. 5.2.1</w:t>
      </w:r>
    </w:p>
    <w:p>
      <w:r>
        <w:t>Les conditions matérielles de l’art. 390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la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2016, [ci-après : Droit de la protection de l’adulte], n. 719, p. 366).</w:t>
      </w:r>
    </w:p>
    <w:p>
      <w:r>
        <w:t>- 8 -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Protection de l’adulte, 2013, [ci-après : CommFam], n. 9 s. ad art. 390 CC, p. 385 ; Meier, Droit de la protection de l’adulte, op. cit., n. 722, p. 367 ; Guide pratique COPMA 2012, op. cit., n. 5.9, p. 137).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op. cit., n. 729, p. 370 ; Guide pratique COPMA 2012, op. cit.,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w:t>
      </w:r>
    </w:p>
    <w:p>
      <w:r>
        <w:t>- 9 -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 consid. 4.3). Enfin, il ne suffit pas que la personne concernée semble avoir besoin d'aide et qu'elle donne son accord pour instituer une curatelle de représentation et de gestion. L'autorité de protection de l'adulte et de l'enfant doit à tout le moins disposer de l'avis médical du médecin traitant de l'intéressée (CCUR 28 juillet 2015/175 ; CCUR 15 octobre 2018/193).</w:t>
      </w:r>
    </w:p>
    <w:p>
      <w:r>
        <w:rPr>
          <w:b/>
        </w:rPr>
        <w:t>E. 5.2.2</w:t>
      </w:r>
    </w:p>
    <w:p>
      <w:r>
        <w:t>Aux termes de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Celle-ci est désormais engagée par les actes du curateur (art. 394 al. 3 CC) et ne peut, de sa propre initiative, retirer ou restreindre les pouvoirs de représentation de son curateur, même si elle a conservé l'exercice des droits civils (Meier, CommFam, op. cit., nn. 15 à 26 ad art. 394 CC, pp. 439 ss, et n. 11 ad art. 395 CC, p. 452 ; Meier, Droit de la protection de l'adulte, op. cit., n. 818, p. 405).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w:t>
      </w:r>
    </w:p>
    <w:p>
      <w:r>
        <w:t>- 10 - [Protection des personnes, droit des personnes et droit de la filiation], FF 2006 p. 6679). Il s'agit d'une limitation ponctuelle qui ne doit concerner que certaines tâches du curateur et celles pour lesquelles il existe une mise en danger véritable (Guide pratique COPMA 2012, op. cit., nn. 5.90 ss, p. 173 ; Biderbost/Henkel, Basler Kommentar, op. cit., n. 31 ad art. 394 CC, p. 2365 ; Meier, CommFam, op. cit., n. 12 ad art. 395 CC, p. 453). Ainsi, l'exercice des droits civils peut être retiré par rapport à l'utilisation d'une carte de crédit (Biderbost/Henkel, Basler Kommentar, ibid.). S'agissant des actes touchés par la restriction des droits civils, la mesure instituée peut être assimilée à une curatelle de portée générale (Meier, op. cit., n. 33 ad art. 394 CC, p. 444). Les motifs d'une limitation de l'exercice des droits civils doivent être indiqués dans les considérants de la décision et la restriction doit figurer dans le dispositif de la décision, qui en précisera l'étendue (Guide pratique COPMA 2012, n. 5.93, p. 174 ; Biderbost/Henkel, Basler Kommentar, op. cit., n. 33 ad art. 394 CC, p. 2366). Les éléments du patrimoine touchés par la mesure doivent également être décrits précisément dans la décision (Biderbost/Henkel, ibid., n. 31 ad art. 395 CC, p. 2372). L’art. 395 al. 1 CC dispose que lorsque l’autorité de protection de l’adulte institue une curatelle de représentation ayant pour objet la gestion du patrimoine, elle détermine les biens sur lesquels portent les pouvoirs du curateur. La curatelle de gestion constitue une forme spéciale de curatelle de représentation et non une mesure de protection distincte (Meier, CommFam, op. cit., n. 3 ad art. 395 CC, p. 450 ; Meier, Droit de la protection de l’adulte, op. cit.,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s., p. 411). Le</w:t>
      </w:r>
    </w:p>
    <w:p>
      <w:r>
        <w:t>- 11 -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La mesure de curatelle de représentation en relation avec la gestion du patrimoine a pour but de protéger les personnes qui ne sont pas capables de gérer seules leurs biens sans porter atteinte à leurs propres intérêts (Henkel, in Basler Kommentar, op. cit., n. 5 ad art. 395 CC, p. 2369 ; Meier, CommFam, op. cit., n. 6 ad art. 395 CC, p. 451).</w:t>
      </w:r>
    </w:p>
    <w:p>
      <w:r>
        <w:rPr>
          <w:b/>
        </w:rPr>
        <w:t>E. 5.3</w:t>
      </w:r>
    </w:p>
    <w:p>
      <w:r>
        <w:t>En l'espèce, la situation de W.________ a été signalée le 27 août 2019 par Me S.________, que la recourante avait mandatée pour la représenter dans le cadre de la succession de feu sa mère [...]. L’avocate a expliqué que sa mandante allait hériter de ses deux parents un appartement à [...] ainsi que de liquidités à hauteur de 300'000 à 400'000 francs. Elle a indiqué craindre une incapacité à résister à l'influence de tiers de la part de sa mandante et a évoqué une problématique de santé psychique de cette dernière, qui était au demeurant dépassée par la situation. Le médecin traitant de la recourante a quant à lui indiqué que sa patiente était suivie pour une schizophrénie depuis vingt ans et qu'elle était médiquée au quotidien. Il a relevé qu’elle présentait une personnalité fragile et anxieuse et qu’elle avait besoin de s'appuyer sur quelqu'un, notant qu'elle pourrait facilement agir contre ses intérêts si une personne de confiance la mettait sous pression, avec un discernement fluctuant et dépendant du stress environnant. A l'audience du 19 septembre 2019, la recourante a acquiescé à l'institution d’une mesure de curatelle en sa faveur et a précisé ne plus être avec son compagnon, F.________, car elle n'avait plus confiance en lui au point qu'elle avait changé ses codes de cartes bancaires. Il ressort de ses écritures de deuxième instance que la recourante a changé d'avis, faisant à nouveau pleinement confiance audit F.________, ayant renoncé à déménager à [...] et estimant ne pas avoir besoin d'être protégée.</w:t>
      </w:r>
    </w:p>
    <w:p>
      <w:r>
        <w:t>- 12 - La situation paraît inquiétante. La pathologie psychiatrique, à tout le moins la fragilité de la recourante, est avérée selon l'avis médical, même s'il ne s'agit pas d'une expertise. Par ailleurs, le fait de tenir des discours complètement différents s'agissant du prénommé F.________ en si peu de temps, et alors même que la recourante est sur le point d'hériter de biens pour une valeur importante, est inquiétant et démontre le besoin de protection. La situation devra néanmoins être réévaluée à bref délai et avant les trois ans mentionnés dans la décision entreprise. Il est en effet possible que la problématique successorale soit à l'origine des difficultés rencontrées et qu'elle soit résolue dans un délai relativement bref. Il est aussi envisageable, à l'opposé, qu'en raison du patrimoine important dont va disposer la recourante, sa possible incapacité à résister aux pressions de tiers nécessite une restriction dans l'exercice des droits civils, auquel cas l'enquête devra être ré-ouverte et une expertise mise en œuvre.</w:t>
      </w:r>
    </w:p>
    <w:p>
      <w:r>
        <w:rPr>
          <w:b/>
        </w:rPr>
        <w:t>E. 6.1</w:t>
      </w:r>
    </w:p>
    <w:p>
      <w:r>
        <w:t>En conclusion, le recours, manifestement infondé (cf. art. 322 al. 1 CPC applicable par renvoi de l’art. 450f CC), doit être rejeté et la décision attaquée confirmée.</w:t>
      </w:r>
    </w:p>
    <w:p>
      <w:r>
        <w:rPr>
          <w:b/>
        </w:rPr>
        <w:t>E. 6.2</w:t>
      </w:r>
    </w:p>
    <w:p>
      <w:r>
        <w:t>La Chambre de céans ayant directement statué au fond, la requête de restitution d'effet suspensif de la recourante est sans objet.</w:t>
      </w:r>
    </w:p>
    <w:p>
      <w:r>
        <w:rPr>
          <w:b/>
        </w:rPr>
        <w:t>E. 6.3</w:t>
      </w:r>
    </w:p>
    <w:p>
      <w:r>
        <w:t>Le présent arrêt peut être rendu sans frais judiciaires de deuxième instance (art. 74a al. 4 TFJC [tarif du 28 septembre 2010 des frais judiciaires civils ; BLV 270.11.5]).</w:t>
      </w:r>
    </w:p>
    <w:p>
      <w:r>
        <w:t>- 13 - Par ces motifs, la Chambre des curatelles du Tribunal cantonal, statuant à huis clos, prononce : I. Le recours est rejeté. II. La décision est confirmée. III. La requête de restitution d’effet suspensif est sans objet. IV. L'arrêt est rendu sans frais judiciaires de deuxième instance. Le président : La greffière : Du L'arrêt qui précède, dont la rédaction a été approuvée à huis clos, est notifié à : - W.________, - [...], curatrice, et communiqué par l'envoi de photocopies à : - Madame la Juge de paix du district du Jura – Nord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- 14 -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