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OF12.030297 vom 22. August 2017</w:t>
      </w:r>
    </w:p>
    <w:p>
      <w:r>
        <w:t>VD Tribunal cantonal, 2017-08-22, FR</w:t>
      </w:r>
    </w:p>
    <w:p>
      <w:r>
        <w:rPr>
          <w:b/>
        </w:rPr>
        <w:t xml:space="preserve">Quelle: </w:t>
      </w:r>
      <w:r>
        <w:t>https://mcp.opencaselaw.ch/entscheid/vd_gerichte_OF12.030297</w:t>
      </w:r>
    </w:p>
    <w:p>
      <w:r>
        <w:t>FR: VD_GERICHTE OF12.030297 du 22 août 2017</w:t>
      </w:r>
    </w:p>
    <w:p>
      <w:r>
        <w:t>IT: VD_GERICHTE OF12.030297 del 22 agosto 2017</w:t>
      </w:r>
    </w:p>
    <w:p>
      <w:pPr>
        <w:pStyle w:val="Heading2"/>
      </w:pPr>
      <w:r>
        <w:t>Erwägungen</w:t>
      </w:r>
    </w:p>
    <w:p>
      <w:r>
        <w:rPr>
          <w:b/>
        </w:rPr>
        <w:t>E. 4</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- 13 -</w:t>
      </w:r>
    </w:p>
    <w:p>
      <w:r>
        <w:rPr>
          <w:b/>
        </w:rPr>
        <w:t>E. 5</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En l'espèce, la personne concernée a été entendue le 28 juin 2017, préalablement au prononcé de la décision attaquée du 29 juin 2017. Son droit d'être entendue a par conséquent été respecté. En outre, les explications du curateur et recourant Q.________ ont été amplement recueillies de sorte que son droit d'être entendu a également été respecté. Prononcée conformément aux règles de procédure en vigueur, la décision attaquée peut donc être examinée sur le fond.</w:t>
      </w:r>
    </w:p>
    <w:p>
      <w:r>
        <w:rPr>
          <w:b/>
        </w:rPr>
        <w:t>E. 6</w:t>
      </w:r>
    </w:p>
    <w:p>
      <w:r>
        <w:t>Le recourant demande le rétablissement de la curatelle d'accompagnement, en particulier l'accès et la libre disposition du compte bancaire de la BCV pour permettre le règlement des charges courantes de la personne concernée ; le maintien de la curatelle de gestion et de représentation pour le seul usage du compte UBS, la personne concernée devant être autorisée à prélever un montant annuel, par exemple, de 12'000 fr., pour assurer ses besoins personnels sans avoir à se justifier</w:t>
      </w:r>
    </w:p>
    <w:p>
      <w:r>
        <w:t>- 14 - ainsi que payer les frais relevant de la procédure engagée et les dépenses extraordinaires, tels que ses frais de santé. En outre, il requiert la suppression de la clause de retrait des droits civils. 6.1.1.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trois causes alternatives, à savoir la déficience mentale, les troubles psychiques ou tout autre état de faiblesse qui affecte la condition de la personne concernée, qui correspondent partiellement à l'ancien droit de la tutelle ((Meier,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Protection de l’adulte, Berne 2013 [cité ci-après : CommFam], nn. 9 s. ad art. 390 CC, p. 385 ; Meier, Droit de la protection de l’adulte, n. 722, p. 367 ; Guide pratique COPMA, n. 5.9, p. 37). Pour fonder une curatelle, il faut encore que l’état de faiblesse entraîne un besoin de protection de la personne concernée, ce besoin</w:t>
      </w:r>
    </w:p>
    <w:p>
      <w:r>
        <w:t>- 15 -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n. 729, p. 370 ; Guide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 précité). 6.1.2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w:t>
      </w:r>
    </w:p>
    <w:p>
      <w:r>
        <w:t>- 16 - Feuille fédérale 2006, pp. 6635 ss, spéc. p. 6678), elle ne peut être instituée que si les conditions matérielles de l’art. 390 CC sont réalisées et que la personne concernée a consenti à la mesure (cf. TF 5A_702/2013 du</w:t>
      </w:r>
    </w:p>
    <w:p>
      <w:r>
        <w:rPr>
          <w:b/>
        </w:rPr>
        <w:t>E. 6.2</w:t>
      </w:r>
    </w:p>
    <w:p>
      <w:r>
        <w:t>Selon le certificat récent du médecin traitant de W.________, celle-ci aurait suffisamment de discernement pour se rendre compte d'éventuelles pressions et intentions malveillantes, s'opposer à celles-ci et</w:t>
      </w:r>
    </w:p>
    <w:p>
      <w:r>
        <w:t>- 19 - les signaler de sorte que ses intérêts seraient suffisamment protégés dans le cadre d'une curatelle d'accompagnement. Force est toutefois de relever que l'état de faiblesse de la recourante est patent : elle souffre d'un état anxieux et dépressif, d'une phobie sociale et de performances intellectuelles limitées qui, en présence d'une fortune conséquente héritée récemment, la placent dans une position nouvelle et délicate qu'elle ne semble pas maîtriser. Cela ressort particulièrement des déclarations qu'elle a faites au cours des audiences qui se sont déroulées les 8 et 28 juin 2017 devant la juge de paix. Interrogée sur les raisons pouvant expliquer que sa fortune ait diminué de 65'000 fr. entre le 31 décembre 2016 et le 30 avril 2017, soit en seulement quatre mois et alors qu'elle bénéficie de revenus mensuels de l'ordre de 6'000 à 7'000 fr. qui lui laissent un disponible de 5'000 fr. par mois, une fois ses charges payées, la personne concernée a donné des explications qui ne justifient aucunement la diminution constatée. Ainsi, à de nombreuses reprises, W.________ s'est contredite sur la prétendue utilisation faite de la somme litigieuse ; elle est revenue sur ses déclarations ou a prétendu commettre des oublis. Ainsi, elle a évoqué des frais dentaires de 2'000 à 3'000 fr. et s'est ensuite ravisée, citant des montants de 12'000 à 15'000 fr., affirmant n'avoir reçu encore à leur sujet aucun devis ; elle s'est prévalue de l'achat d'un sac de marque au prix de 3'000 fr., prétendant ensuite l'avoir acheté à un autre prix l'année précédente ; elle aurait aussi conservé de l'argent à son domicile à hauteur de 50'000 fr., invoquant par après un montant de 10'000 fr., affirmant avoir dépensé la différence de 40'000 fr. en achats divers, ne pouvant là non plus produire le moindre justificatif. On s'interroge aussi sur les prestations en nature de 1'000 fr. par mois qu'elle aurait fournies à une famille pendant cinq mois et qui s'apparentent vraisemblablement à des libéralités. Dès lors, si l'on peut admettre que la recourante a pu être impressionnée par l'autorité judiciaire au point de n'avoir peut-être pas été en mesure de s'expliquer avec toute la clarté requise, cela n'explique toutefois pas l'incohérence de beaucoup de ses propos. En outre, l'ancien curateur Q.________, qui lui prête son concours depuis des années et a sa confiance, fait actuellement l'objet d'actes de poursuites pour près de</w:t>
      </w:r>
    </w:p>
    <w:p>
      <w:r>
        <w:t>- 20 - 48'000 fr. et d'actes de défaut de biens et n'a pas non plus été en mesure de produire des justificatifs permettant d'établir la nature et l'importance des dépenses prétendument faites par W.________ à partir de sa fortune. On ne peut donc exclure, à ce stade, que W.________ soit l'objet d'interventions et de sollicitations extérieures, notamment de celles de Q.________, qui pourraient gravement obérer sa fortune si aucune mesure de protection plus restrictive qu'une curatelle d'accompagnement n'est prise rapidement en sa faveur. A cet égard, en l'état de l'enquête et jusqu'à ce que la situation ait été éclaircie et l'expertise psychiatrique déposée, il convient d'approuver les mesures prises provisoirement par la juge de paix, en particulier le blocage du compte UBS sur lequel la part successorale a été versée, étant précisé que le blocage d'un compte est une mesure ponctuelle et que le bien-fondé de cette mesure devra donc être réexaminé dès que possible par l'autorité de protection. 7. En conclusion, le recours est rejeté dans la mesure où il est recevable et la décision confirmée. Vu l'envoi du dispositif en date du 23 août 2017, la requête d'effet suspensif n'a plus d'objet.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dans la mesure où il est recevable.</w:t>
      </w:r>
    </w:p>
    <w:p>
      <w:r>
        <w:t>- 21 - II. La décision est confirmée. III. La requête d'effet suspensif n'a pas d'objet. IV. L'arrêt est rendu sans frais judiciaires de deuxième instance. V. L'arrêt motivé est exécutoire. La présidente : La greffière : Du L'arrêt qui précède, dont le dispositif a été communiqué par écrit aux intéressés le 23 août 2017, est notifié à : - W.________, - B.________. - Q.________, et communiqué à : - Juge de paix du district de Lausanne,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10</w:t>
      </w:r>
    </w:p>
    <w:p>
      <w:r>
        <w:t>décembre 2013 consid. 4.4, non publié in ATF 140 III 49 mais résumé in Revue de la protection des mineurs et des adultes [RMA] 2014, p. 133 ; Meier, CommFam, op. cit.,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op .cit, nn. 17, 18, 20 ad art. 393 CC, 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n. 818, p. 405).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 Droit de la protection de l’adulte, nn. 813 et 833, pp. 403 et 410) ; les conditions d’institution sont d'ailleurs les mêmes. L’importance des revenus ou de la fortune de la personne concernée n’est pas le critère</w:t>
      </w:r>
    </w:p>
    <w:p>
      <w:r>
        <w:t>- 17 - déterminant pour prononcer une curatelle de gestion : il faut que la personne soit dans l’incapacité de gérer son patrimoine, quelles qu’en soient la composition et l’ampleur (Meier, Droit de la protection de l’adulte, n. 835 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Selon l'art. 395 al. 3 CC, l'autorité de protection de l'adulte peut priver la personne concernée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op. cit., n. 23 ss ad art. 395 CC, p. 456 s. ; Henkel, Basler Kommentar, op. cit., n. 20 ad art. 395 CC, p. 2210 ; Meier, Droit de la protection de l’adulte, op. cit., n. 845, p. 414 ; Guide pratique COPMA, n. 5.39, p. 149), comme, par exemple, un véhicule de collection, des bijoux ou une œuvre d'art (Meier, CommFam, op. cit., n. 26 ad. art. 395 al. 3 CC, p. 457). L’autorité précisera les éléments de fortune ou de revenus concernés par le blocage (Meier, CommFam, op. cit., n. 27 ad art. 395 CC, p. 458). La privation d'accès à un bien – sous réserve que l'autorité ne précise pas expressément que la personne concernée est privée de la possession de ce bien (Guide pratique COPMA, ibidem) – ne doit cependant pas s'interpréter comme une privation d'usage de ce bien mais comme une interdiction d'en disposer (CCUR 18 juin 2013/159). La mesure de curatelle de représentation en relation avec la gestion du patrimoine a pour but de protéger les personnes qui ne sont pas capables de gérer seules leurs biens sans porter atteinte à leurs propres intérêts (Henkel, Basler Kommentar, op. cit., n. 5 ad art. 395 CC, p. 2207 ; Meier, CommFam, op. cit., n. 6 ad art. 395 CC, p. 451). Les biens bloqués sont accessibles au curateur, qui peut les utiliser dans l'intérêt de la personne concernée. Ils ne constituent pas un patrimoine séparé, dès lors qu'ils continuent de répondre des obligations contractées par la</w:t>
      </w:r>
    </w:p>
    <w:p>
      <w:r>
        <w:t>- 18 - personne mise sous curatelle. Lorsqu'elle détermine les biens sur lesquels portent les pouvoirs du curateur, l'autorité de protection doit tenir compte des besoins de la personne concernée, en application du principe général de l'art. 391 al. 1 CC, et jouit à cet égard d'un large pouvoir d'appréciation (TF 5A_540/2013 du 3 décembre 2013 consid. 5.1.1 non publié in ATF 140 III 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nn. 5.90 ss, p. 173 ; Henkel, Basler Kommentar, op. cit., n. 31 ad art. 394 CC, p. 2204 ; Meier, CommFam, n. 12 ad art. 395 CC, p. 453). Ainsi, l'exercice des droits civils peut être retiré par rapport à l'utilisation d'une carte de crédit (Henkel, Basler Kommentar, ibidem). S'agissant des actes touchés par la restriction des droits civils, la mesure instituée peut être assimilée à une curatelle de portée générale (Meier, CommFam, n. 33 ad art. 394 CC, p. 444). 6.1.3 L'autorité de protection prend toutes les mesures provisionnelles nécessaires pendant la durée de la procédure. Elle peut notamment ordonner une mesure de protection de l'adulte à titre provisoire (art. 445 al. 1 CC ; Guide pratique COPMA, n. 1.184, pp. 74-75). S’agissant d’une mesure provisoire, il faut à tout le moins qu’il apparaisse comme très vraisemblable que la mesure soit fondée et nécessaire pour sauvegarder les intérêts de la personne concernée (Auer/Marti, Basler Kommentar, n. 29 ad art. 445 CC, p. 2552).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