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OE15.003984 vom 27. März 2015</w:t>
      </w:r>
    </w:p>
    <w:p>
      <w:r>
        <w:t>VD Tribunal cantonal, 2015-03-27, FR</w:t>
      </w:r>
    </w:p>
    <w:p>
      <w:r>
        <w:rPr>
          <w:b/>
        </w:rPr>
        <w:t xml:space="preserve">Quelle: </w:t>
      </w:r>
      <w:r>
        <w:t>https://mcp.opencaselaw.ch/entscheid/vd_gerichte_OE15.003984</w:t>
      </w:r>
    </w:p>
    <w:p>
      <w:r>
        <w:t>FR: VD_GERICHTE OE15.003984 du 27 mars 2015</w:t>
      </w:r>
    </w:p>
    <w:p>
      <w:r>
        <w:t>IT: VD_GERICHTE OE15.003984 del 27 marzo 2015</w:t>
      </w:r>
    </w:p>
    <w:p>
      <w:pPr>
        <w:pStyle w:val="Heading2"/>
      </w:pPr>
      <w:r>
        <w:t>Erwägungen</w:t>
      </w:r>
    </w:p>
    <w:p>
      <w:r>
        <w:rPr>
          <w:b/>
        </w:rPr>
        <w:t>E. 1</w:t>
      </w:r>
    </w:p>
    <w:p>
      <w:r>
        <w:t>Le recours est dirigé contre une décision de la justice de paix désignant D.________ en qualité de curatrice au sens des art. 394 al. 1 et 395 al. 1 CC de L.________.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w:t>
      </w:r>
    </w:p>
    <w:p>
      <w:r>
        <w:t>- 6 -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b)Interjeté en temps utile par la curatrice désignée, le présent recours est recevable. L’autorité de protection a été consultée confor- mément à l’art. 450d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w:t>
      </w:r>
    </w:p>
    <w:p>
      <w:r>
        <w:t>- 7 -</w:t>
      </w:r>
    </w:p>
    <w:p>
      <w:r>
        <w:rPr>
          <w:b/>
        </w:rPr>
        <w:t>E. 3</w:t>
      </w:r>
    </w:p>
    <w:p>
      <w:r>
        <w:t>La recourante conteste sa désignation en qualité de curatrice de L.________, alléguant qu’elle est de nature timide et réservée, qu’elle se sent totalement dépassée par la situation, qu’elle est dans l’incapacité de gérer les affaires du prénommé en raison de l’état de santé de celui-ci, qu’elle va déménager à [...] et qu’elle n’a pas de permis de conduire. a)Aux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«sous réserve de justes motifs» (Message du Conseil fédéral du 28 juin 2006 à l’appui de la révision du droit de la protection de l’adulte [Message], FF 2006, p. 6683; Helle, Le nouveau droit de la protection de l’adulte, 2012, p. 176).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Les motifs invoqués, qu’ils soient liés à la situation personnelle ou professionnelle, doivent être suffisamment importants pour que la prise en charge d’un mandat de curateur ne puisse raisonnablement plus être exigée de la personne en question (Rapport relatif à la révision du code civil [Protection de l’adulte, droit des personnes et droit de la filiation],</w:t>
      </w:r>
    </w:p>
    <w:p>
      <w:r>
        <w:t>- 8 - Berne 2003, p. 42; Reusser, Basler Kommentar, op. cit., n. 48 ad art. 400 CC, p. 2252 : «so dass die Übernahme des Amtes nicht zumutbar ist»). Il n’est ainsi pas possible de relativiser les exigences posées pour l’admission de motifs de dispense, puisqu’elles tirent leur légitimité du système légal tel qu’il a été aménagé. Admettre un recours fondé sur des motifs insuffisants reviendrait à priver la loi de son sens et de son but par voie jurisprudentielle, ce qui n’est pas admissible. Ces exigences vont de pair avec le «temps nécessaire» au sens de l’art. 400 al. 1 CC dont le curateur doit disposer pour accomplir les tâches qui lui seront confiées. Indépendamment de la disponibilité du curateur (Reusser, op. cit., n. 27 ad art. 400 CC, p. 2245),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n. 59 ad art. 379 aCC, pp. 702 ss, point de vue qui demeure valable sous l'empire du nouveau droit). Lorsque l’intéressé formule des objections à sa nomination, l’autorité de protection doit examiner si celles-ci sont objectivement plausibles (ATF 140 III 1 c. 4.3.2). Selon le Message du Conseil fédéral, une personne exerçant la fonction à titre privé peut être chargée d’une curatelle; la nécessité de continuer à confier des curatelles à des personnes privées n’est contestée ni dans la doctrine ni dans la jurisprudence, cette solution présentant l’avantage de contrer quelque peu la tendance consistant à déléguer la responsabilité d’aider son prochain à des professionnels et à des institutions (FF 2006 p. 6683 ch. 2.2.5). La doctrine ne remet pas non plus en discussion l’intervention de curateurs privés (cf. Reusser, op. cit., nn. 14/15 ad art. 400 CC, p. 2241; Häfeli, in Commentaire du droit de la famille [CommFam], Protection de l’adulte, Berne 2013, n. 7 ad art. 400 CC, pp. 507 et 508; Meier/Lukic, Introduction au nouveau droit de la protection de l’adulte, 2011, n. 541 et</w:t>
      </w:r>
    </w:p>
    <w:p>
      <w:r>
        <w:t>- 9 - les notes 643/644, p. 246; TF 5A_699/2013 du 29 novembre 2013; TF 5A_691/2013 du 14 janvier 2014). b)En l’espèce, il résulte du dossier que L.________ présente une personnalité émotionnelle labile, type borderline, et une dysthymie, associées à des troubles obsessionnels compulsifs et à des difficultés de compréhension et de concentration. Sans travail depuis mars 2009, il bénéficie du soutien du CSR et d’un infirmier spécialisé depuis juin 2009, et travaille dans les ateliers du CES à [...]. Au bénéfice du revenu d’insertion depuis le 1er juin 2009, il a des actes de défaut de biens pour plus de 69'000 fr. et a déposé une demande auprès de l’AI. Il apparaît dès lors que la situation complexe de la personne concernée nécessite un certain cadre et qu’il est à craindre que la recourante, qui se dit timide et réservée, ne sera pas en mesure de le lui fournir et de s’imposer, cas échéant, pour lui faire accepter des décisions qui devront être prises. Cela étant, la recourante est sur le point de quitter la région de [...] pour [...]. Ne disposant pas du permis de conduire, elle sera dans l’impossibilité de se déplacer avec un véhicule individuel pour effectuer les diverses tâches administratives que nécessiteront les actes à accomplir dans le cadre de la gestion de la curatelle. Dans ces conditions, la cour de céans considère que la recourante n’est pas apte à assumer la curatelle confiée et que les intérêts de la personne concernée risquent d’être compromis par sa désignation en qualité de curatrice. Le recours étant bien fondé, la décision entreprise doit être annulée et la cause renvoyée aux premiers juges, auxquels il appartiendra de nommer un nouveau curateur à la personne concernée.</w:t>
      </w:r>
    </w:p>
    <w:p>
      <w:r>
        <w:rPr>
          <w:b/>
        </w:rPr>
        <w:t>E. 4</w:t>
      </w:r>
    </w:p>
    <w:p>
      <w:r>
        <w:t>En conclusion, le recours interjeté par D.________ doit être admis, la décision entreprise annulée aux chiffres III et V de son dispositif et la cause renvoyée à la justice de paix pour nouvelle décision dans le sens des considérants.</w:t>
      </w:r>
    </w:p>
    <w:p>
      <w:r>
        <w:t>- 10 - Le présent arrêt peut être rendu sans frais judiciaires (art. 74a al. 4 TFJC [Tarif du 28 septembre 2010 des frais judiciaires civils, RSV 270.11.5]). Quand bien même elle obtient gain de cause, il n’y a pas lieu d’allouer de dépens de deuxième instance à la recourante. En effet, elle a agi personnellement et la justice de paix n’a pas qualité de partie, mais d’autorité de première instance, de sorte qu’elle ne saurait être condamnée à des dépens (cf. Tappy, CPC commenté, Bâle 2011, n. 34 ad art. 107 CPC, p. 426 ; JT 2001 III 121). Par ces motifs, la Chambre des curatelles du Tribunal cantonal, statuant à huis clos, prononce : I. Le recours est admis. II. Les chiffres III et V de la décision sont annulés et la cause est renvoyée à la Justice de paix du district de l’Ouest lausannois pour nouvelle décision au sens des considérants. Elle est confirmée pour le surplus. III. L’arrêt est rendu sans frais. IV. L'arrêt motivé est exécutoire. La présidente : La greffière :</w:t>
      </w:r>
    </w:p>
    <w:p>
      <w:r>
        <w:t>- 11 - Du 27 mars 2015 Le dispositif de l'arrêt qui précède est communiqué par écrit aux intéressés. La greffière : Du L'arrêt qui précède, dont la rédaction a été approuvée à huis clos, est notifié à : - Mme D.________, - M. L.________, et communiqué à : - Justice de paix du district de l’Ouest lausannois,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