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OE15.002680 vom 6. März 2015</w:t>
      </w:r>
    </w:p>
    <w:p>
      <w:r>
        <w:t>VD Tribunal cantonal, 2015-03-06, FR</w:t>
      </w:r>
    </w:p>
    <w:p>
      <w:r>
        <w:rPr>
          <w:b/>
        </w:rPr>
        <w:t xml:space="preserve">Quelle: </w:t>
      </w:r>
      <w:r>
        <w:t>https://mcp.opencaselaw.ch/entscheid/vd_gerichte_OE15.002680</w:t>
      </w:r>
    </w:p>
    <w:p>
      <w:r>
        <w:t>FR: VD_GERICHTE OE15.002680 du 6 mars 2015</w:t>
      </w:r>
    </w:p>
    <w:p>
      <w:r>
        <w:t>IT: VD_GERICHTE OE15.002680 del 6 marzo 2015</w:t>
      </w:r>
    </w:p>
    <w:p>
      <w:pPr>
        <w:pStyle w:val="Heading2"/>
      </w:pPr>
      <w:r>
        <w:t>Erwägungen</w:t>
      </w:r>
    </w:p>
    <w:p>
      <w:r>
        <w:rPr>
          <w:b/>
        </w:rPr>
        <w:t>E. 1</w:t>
      </w:r>
    </w:p>
    <w:p>
      <w:r>
        <w:t>Le recours est dirigé contre une décision de la justice de paix instituant une curatelle de représentation et de gestion à forme des art. 394 al. 1 et 395 al. 2 CC en faveur d’ A.J.________ et désignant X.________ en qualité de curateur.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w:t>
      </w:r>
    </w:p>
    <w:p>
      <w:r>
        <w:t>- 6 -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b)En l’espèce, interjeté en temps utile par les trois fils de la per- sonne concernée, à qui la qualité de proches doit être reconnue, le présent recours est recevable. Les pièces produites en deuxième instance, si tant est qu’elles ne figurent pas déjà au dossier, sont également recevables. Le recours étant manifestement mal fondé au vu des considérations qui seront développées ci-après, il a été renoncé à consulter l’autorité de protection (cf. art. 450d al. 1 ; Reusser, Basler Kommentar, op. cit., nn. 6 ss ad art. 450d CC, pp. 2640-2641) et le curateur n’a pas été invité à se déterminer.</w:t>
      </w:r>
    </w:p>
    <w:p>
      <w:r>
        <w:t>- 7 -</w:t>
      </w:r>
    </w:p>
    <w:p>
      <w:r>
        <w:rPr>
          <w:b/>
        </w:rPr>
        <w:t>E. 2</w:t>
      </w:r>
    </w:p>
    <w:p>
      <w:r>
        <w:t>a)La Chambre des curatelles, qui n’est pas tenue par les moyens et les conclusions des parties, examine d’office si la décision n’est pas affectée de vices d’ordre formel. b)Les recourants invoquent la violation de leur droit d’être entendus. Ils critiquent le fait qu’aucun d’eux n’ait été cité à comparaître devant la justice de paix avant qu’elle ne rende la décision attaquée et qu’ils n’aient pas reçu une copie de celle-ci. c)La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 3.1, non publié in ATF 140 III 1 ; ATF 137 I 195 c. 2.2, SJ 2011 I 345).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JT 2010 I 720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w:t>
      </w:r>
    </w:p>
    <w:p>
      <w:r>
        <w:t>- 8 - sur son résultat lorsque cela est de nature à influer sur la décision à rendre (TF 5A_680/2014 du 21 novembre 2014 c. 4.1 et les références citées). Ce droit ne s’étend toutefois qu’aux éléments pertinents pour décider de l’issue du litige (ATF 130 II 425 c. 2.1 ; ATF 129 II 497 c. 2.2). d)En l’espèce, le juge de paix a procédé seul à l’audition de la personne concernée lors de son audience du 12 mars 2014, A.J.________ ayant expressément renoncé à son audition par la justice de paix en corps, de sorte que son droit d’être entendue a été respecté. Les recourants n’ont quant à eux pas été entendus par le juge de paix. La loi n’impose toutefois pas à l’autorité de protection de permettre à tous les membres de la famille de la personne concernée de participer à une procédure relative à l’institution d’une mesure de protection de l’adulte. Le Tribunal fédéral a rappelé que le représentant de la personne concernée n’avait aucun droit d’être entendu personnellement (TF 5A_857/2010 du 12 janvier 2011 c. 3 ; Steck, in Commentaire du droit de la famille [CommFam], Protection de l’adulte, Berne 2013, n. 19 ad art. 447 CC). En revanche, l’art. 443 al. 1 CC permet à toute personne d’aviser l’autorité de protection qu’une personne semble avoir besoin d’aide. Il n’en reste pas moins qu’en l’absence, d’une part, de toute manifestation auprès de l’autorité et, d’autre part, du droit de présenter une requête, la personne n’a aucun droit à ce que la décision relative à l’ouverture de la procédure lui soit communiquée, pas plus qu’elle ne peut prétendre participer au procès ou exiger qu’une décision matérielle lui soit communiquée (Steck, CommFam, n. 13 ad art. 445 CC). L’autorité de protection n’avait par conséquent pas à procéder à l’audition des recourants ou à leur communiquer quoi que ce soit. La cour de céans ne discerne donc aucune violation du droit d’être entendus des recourants. Quoi qu’il en soit, ceux-ci ont pu exprimer leur point de vue dans leur recours. La Chambre des curatelles disposant d’un plein pouvoir d’examen en fait et en droit (cf. 450a CC ; ATF 137 I 195 c. 2.3.2), un éventuel vice a été réparé dans le cadre de la présente procédure.</w:t>
      </w:r>
    </w:p>
    <w:p>
      <w:r>
        <w:t>- 9 -</w:t>
      </w:r>
    </w:p>
    <w:p>
      <w:r>
        <w:rPr>
          <w:b/>
        </w:rPr>
        <w:t>E. 3</w:t>
      </w:r>
    </w:p>
    <w:p>
      <w:r>
        <w:t>Les recourants contestent la curatelle de représentation et de gestion instituée en faveur de leur mère et sollicitent la levée de cette mesure, tout en observant que la situation de leur mère a passablement changé, que son état de santé s’est péjoré, qu’elle a été hospitalisée plusieurs fois en 2014, qu’elle séjourne à l’hôpital depuis le 12 août 2014, qu’ils ont été convoqués à un réseau avec les coordinateurs de l’hôpital, que l’état de santé de leur mère et son degré d’autonomie ne permettent pas d’envisager son retour à domicile, qu’une entrée en EMS doit être envisagée dès que possible et que les arriérés d’impôts et d’assurance maladie de leur mère sont réglés. a/aa) Aux termes de l’art. 394 CC, une curatelle de représentation est instituée lorsque la personne qui a besoin d’aide ne peut accomplir certains actes et doit de ce fait être représentée (al. 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la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w:t>
      </w:r>
    </w:p>
    <w:p>
      <w:r>
        <w:t>- 10 - réunies pour justifier le prononcé d'une curatelle (Meier/Lukic, op. cit., n. 397, p. 190). La loi prévoit ainsi trois causes alternatives, à savoir la déficience mentale, les troubles psychiques ou tout autre état de faiblesse qui affecte la condition de la personne concernée.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CommFam, op. cit., nn. 9 s. ad art. 390 CC, p. 385 ; Meier/Lukic, op. cit., n. 400, p. 191 ; Guide pratique COPMA, n. 5.9, p. 37). Quant à l'état de faiblesse, il s'agit d'une formulation large, qui permet d'englober les handicaps physiques, les déficiences liées à l'âge et les cas extrêmes d'inexpérience ou de mauvaise gestion (Meier/Lukic, op. cit., n. 404, p. 192). La notion de faiblesse doit plutôt se fonder sur l'origine même de la faiblesse de l'intéressé que résulter des circonstances extérieures (Meier, CommFam, n. 16 ad art. 390 CC). Cette notion résiduelle d'état de faiblesse doit être utilisée restrictivement, notamment pour les cas extrêmes d'inexpérience. En d'autres termes, une faiblesse de la volonté dans une situation financière peut justifier une curatelle de représentation ; de même, le besoin de protection doit se mesurer au genre d'affaires que l'intéressé est appelé à gérer (Steinauer/Fountoulakis, Droit des personnes physiques et de la protection de l'adulte, nn. 133-134, pp. 43-44).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il peut s'agir d'intérêts patrimoniaux ou</w:t>
      </w:r>
    </w:p>
    <w:p>
      <w:r>
        <w:t>- 11 - personnels (Meier/Lukic, op. cit., n. 405, p. 193; Guide pratique COPMA, n. 5.10, p. 138).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à 443, et n. 11 ad art. 395 CC, p. 452; Meier/Lukic, op. cit., n. 463, p. 216). Les conditions d’institution de la curatelle de gestion sont les mêmes que pour la curatelle de représentation (Meier/Lukic, op. cit., n. 472, p. 219).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Lorsqu’elle détermine les biens sur lesquels portent les pouvoirs du curateur, l’autorité de protection doit tenir compte des besoins de la personne concernée, en application du principe général de l’art. 391 al. 1 CC (TF 5A_540/2013 du 3 décembre 2013 c. 5.1.1).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w:t>
      </w:r>
    </w:p>
    <w:p>
      <w:r>
        <w:t>- 12 - La personne concernée peut être privée ou non de l’exercice des droits civils (Meier/Lukic, op. cit., nn. 458 et 475, pp. 214 et 220 ; cf. art. 394 al. 2 CC). Si l’autorité de protection décide de limiter l’exercice des droits civils, elle doit le prévoir expressément dans le dispositif de la décision et déterminer à quels biens, parmi ceux confiés à la gestion du curateur, ce retrait s’étend (Meier, CommFam, n. 12 ad art. 395 CC, p. 453). bb) Aux termes de l’art. 389 al. 1 ch. 1 CC, l’autorité de protection ordonne une mesure lorsque l’appui fourni à la personne ayant besoin d’aide par les membres de sa famille, par d’autres proches ou par des services publics ne suffit pas ou semble a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b)En l’espèce, A.J.________, âgée de septante-cinq ans, a elle- même sollicité l’institution d’une mesure de protection en sa faveur en invoquant ses graves problèmes de santé et le fait que, malgré l’intervention de son fils aîné B.J.________ pour la gestion de ses affaires courantes, sa situation financière se détériorait. Selon le Dr [...],A.J.________, qui souffre de diverses pathologies, est capable de discernement et comprend la portée de ses actes, présente un handicap physique et une très légère déficience psychique liée à l’âge. Lors de son audition par le juge de paix le 12 mars 2014, A.J.________ a confirmé sa requête de curatelle tout en expliquant qu’elle avait des arriérés de factures impayés malgré l’aide apportée par son fils aîné et qu’elle n’avait aucun retour de la gestion assumée par celui-ci.</w:t>
      </w:r>
    </w:p>
    <w:p>
      <w:r>
        <w:t>- 13 - Il résulte du dossier que l’état de santé d’A.J.________ s’est passablement détérioré depuis que la décision querellée a été rendue, ce que les recourants reconnaissent dans leur recours. A.J.________ a été hospitalisée à plusieurs reprises en 2014, la dernière fois le 28 novembre 2014, et lors du colloque du 9 février 2015, les différents intervenants professionnels de l’Hôpital de [...] ont observé que l’état de santé d’A.J.________ et son degré d’autonomie ne lui permettaient pas de regagner son domicile et qu’un séjour en EMS devait être envisagé. Cela étant, l’instruction a permis d’établir que l’aide apportée à A.J.________ par son fils aîné n’est pas suffisante pour sauvegarder ses intérêts, preuve en sont les arriérés d’impôts et d’assurance maladie impayés et les deux poursuites en cours le 21 mars 2014 pour un montant total de 2'934 francs. Il résulte des éléments qui précèdent qu’A.J.________ se trouve dans un état de faiblesse affectant sa condition personnelle en raison de déficiences liées à son âge et qu’elle n’est pas en mesure d’assurer elle- même les mesures relatives à son état de santé et de ses intérêts patrimoniaux, ainsi que la gestion de ses affaires administratives. La cause et la condition d’une curatelle de représentation et de gestion sont ainsi réalisées. L’institution d’une mesure de protection plus modérée, telle une curatelle d’accompagnement, apparaît en l’état manifestement insuffisante pour sauvegarder les intérêts de la personne concernée à satisfaction. Il convient également de restreindre l’exercice des droits civils de l’intéressée pour tous les actes l’engageant personnellement, seule mesure à même d’apporter à A.J.________ la protection dont elle a besoin. Partant, le recours est mal fondé et la décision entreprise doit être confirmée sur ce point.</w:t>
      </w:r>
    </w:p>
    <w:p>
      <w:r>
        <w:rPr>
          <w:b/>
        </w:rPr>
        <w:t>E. 4</w:t>
      </w:r>
    </w:p>
    <w:p>
      <w:r>
        <w:t>Les recourants souhaitent que B.J.________, fils aîné de la personne concernée, soit désigné en qualité de curateur. a)Selon l'art. 400 al. 1 CC, l’autorité de protection de l’adulte nomme curateur une personne physique qui possède les aptitudes et les connaissances nécessaires à l’accomplissement des tâches qui lui seront confiées, qui dispose du temps nécessaire et qui les exécute en personne.</w:t>
      </w:r>
    </w:p>
    <w:p>
      <w:r>
        <w:t>- 14 - Le curateur doit posséder les aptitudes et connaissances nécessaires aux tâches prévues (art. 400 al. 1 CC; Guide pratique COPMA, nn. 6.5 ss, pp. 180 ss), c’est-à-dire les qualités personnelles et relationnelles ainsi que les compétences professionnelles requises pour les accomplir, l’autorité de protection étant tenue de vérifier d’office que cette condition est réalisée (Message du Conseil fédéral du 28 juin 2006 à l’appui de la révision du droit de la protection de l’adulte [Message], FF 2006 p. 6683; TF 5A_691/2013 du 14 janvier 2014 c. 2.3.2 et réf. citées). Le critère déterminant pour la nomination d’une personne est son aptitude à effectuer les tâches qui lui seront confiées (Message, FF 2006 p. 6683).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(Guide pratique COPMA, n. 6.21, p. 186; Meier/Lukic, op. cit., n. 546, p. 249). Les souhaits de la famille ou d’autres proches de la personne concernée sont aussi pris en considération (art. 401 al. 2 CC),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L’autorité de protection dispose toutefois d’un large pouvoir d’appréciation et les souhaits des proches au sens de l’art. 420 CC ne sont pris en considération que dans la mesure du possible (Häfeli, CommFam, n. 2 ad art. 401 CC, p. 519; Meier/Lukic, op. cit., n. 547, p. 250 ; Guide pratique COPMA, n. 6.22, p. 187). Cela a notamment du sens lorsque la personne concernée n’est pas en mesure de s’exprimer elle-même. En raison de la terminologie choisie par le législateur, le pouvoir</w:t>
      </w:r>
    </w:p>
    <w:p>
      <w:r>
        <w:t>- 15 - d’appréciation de l’autorité s’avère plus étendu que pour la désignation d’un curateur de confiance (Häfeli, loc. cit.). L’autorité de protection de l’adulte doit en outre veiller à ce qu’il n’y ait pas de conflit d’intérêts entre la personne à protéger et celle qui est pressentie comme curatrice (Häfeli, op. cit., n. 2 ad art. 401 CC, p. 519). b)En l’espèce, B.J.________ s’occupait depuis plusieurs années, sans procuration, de la gestion des affaires administratives et financières de sa mère. En date du 8 mai 2014, il avait des poursuites pour un montant total de 26'715 francs. A.J.________ semble avoir des dettes. Le 21 mars 2014, elle faisait l’objet de deux poursuites totalisant 2'934 francs. De plus, il résulte des propos tenus par la personne concernée et l’assistante sociale du CMS de [...] lors de l’audience du juge de paix du 12 mars 2014 que B.J.________ avait de la peine à gérer son patrimoine et celui de sa mère de manière clairement distincte. Il arrivait en particulier à B.J.________ d’utiliser une partie des remboursements de l’assurance mala- die pour ses propres besoins avant de les restituer à sa mère et de signer des ordres de paiements pour elle sans procuration. Tous ces éléments font ainsi douter de la capacité de B.J.________ à veiller en priorité aux intérêts de sa mère, de sorte que celui-ci n’apparaît pas apte à exercer le mandat de curatelle de sa mère et que l’autorité de protection aurait engagé sa responsabilité en le désignant curateur de celle-ci. Dans ces conditions, la cour de céans considère qu’il est dans l’intérêt de la personne concernée que la mesure soit confiée à un tiers, à tout le moins jusqu’à ce que la situation financière de celle-ci et de soin fils aîné soit clarifiée, de sorte que la décision des premiers juges ne prête pas le flanc à la critique et le recours se révèle également mal fondé sur ce point.</w:t>
      </w:r>
    </w:p>
    <w:p>
      <w:r>
        <w:rPr>
          <w:b/>
        </w:rPr>
        <w:t>E. 5</w:t>
      </w:r>
    </w:p>
    <w:p>
      <w:r>
        <w:t>En conclusion, le recours interjeté par B.J.________, C.J.________ et D.J.________ doit être rejeté et la décision entreprise confirmée. Le présent arrêt peut être rendu sans frais judiciaires (art. 74a al. 4 TFJC [Tarif du 28 septembre 2010 des frais judiciaires civils, RSV 270.11.5]).</w:t>
      </w:r>
    </w:p>
    <w:p>
      <w:r>
        <w:t>- 16 - Par ces motifs, la Chambre des curatelles du Tribunal cantonal, statuant à huis clos, prononce : I. Le recours est rejeté II. La décision est confirmée. III. L'arrêt est rendu sans frais judiciaires. IV. L'arrêt motivé est exécutoire. La présidente : La greffière : Du 6 mars 2015 Le dispositif de l'arrêt qui précède est communiqué par écrit aux intéressés. La greffière : Du</w:t>
      </w:r>
    </w:p>
    <w:p>
      <w:r>
        <w:t>- 17 - L'arrêt qui précède, dont la rédaction a été approuvée à huis clos, est notifié à : - MM. B.J.________, C.J.________ et D.J.________ (par M. B.J.________), - Mme A.J.________, - M. X.________, et communiqué à : - Justice de paix du district de Nyon,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