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OE15.001041 vom 12. März 2015</w:t>
      </w:r>
    </w:p>
    <w:p>
      <w:r>
        <w:t>VD Tribunal cantonal, 2015-03-12, FR</w:t>
      </w:r>
    </w:p>
    <w:p>
      <w:r>
        <w:rPr>
          <w:b/>
        </w:rPr>
        <w:t xml:space="preserve">Quelle: </w:t>
      </w:r>
      <w:r>
        <w:t>https://mcp.opencaselaw.ch/entscheid/vd_gerichte_OE15.001041</w:t>
      </w:r>
    </w:p>
    <w:p>
      <w:r>
        <w:t>FR: VD_GERICHTE OE15.001041 du 12 mars 2015</w:t>
      </w:r>
    </w:p>
    <w:p>
      <w:r>
        <w:t>IT: VD_GERICHTE OE15.001041 del 12 marzo 2015</w:t>
      </w:r>
    </w:p>
    <w:p>
      <w:pPr>
        <w:pStyle w:val="Heading2"/>
      </w:pPr>
      <w:r>
        <w:t>Erwägungen</w:t>
      </w:r>
    </w:p>
    <w:p>
      <w:r>
        <w:rPr>
          <w:b/>
        </w:rPr>
        <w:t>E. 1</w:t>
      </w:r>
    </w:p>
    <w:p>
      <w:r>
        <w:t>Le recours est dirigé contre une décision de la justice de paix nommant un curateur professionnel de l’OCTP en qualité de curateur au sens des art. 394 al. 2 et 395 al. 1 CC de D.________.</w:t>
      </w:r>
    </w:p>
    <w:p>
      <w:r>
        <w:t>- 5 -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Erwachsenenschutz, 2012, n. 42 ad art. 450 CC, p. 642). Conformément à l'art. 450d CC, la Chambre des curatelles donne à la justice de paix (art. 4 al. 1 LVPAE) l'occasion de prendre position (al. 1), cette autorité pouvant, au lieu de prendre position, reconsidérer sa décision (al. 2). L’art. 446 al. 1 CC prévoit que l'autorité de protection établit les faits d'office. Compte tenu du renvoi de l’art. 450f CC aux règles du Code de procédure civile du 19 décembre 2008 (ci-après : CPC, RS 272), l’art. 229 al. 3 CPC est applicable devant cette autorité, de sorte que les faits et moyens de preuve nouveaux sont admis jusqu’aux délibérations. Cela vaut aussi en deuxième instance (Steck, op. cit., n. 7 ad 450a CC, p. 644, et les auteurs cités). En matière de protection de l'adulte et de l'enfant, la maxime inquisitoire illimitée est applicable, de sorte que les restrictions posées par l'art. 317 CPC pour l'introduction de faits ou moyens de preuve nouveaux sont inapplicables (cf. JT 2011 III 43; CCUR 28 février 2013/56). b) En l’espèce, interjeté en temps utile par le curateur désigné, qui a qualité pour recourir, le présent recours est recevable. Il en va de même des pièces produites en deuxième instance, si tant est qu’elles ne figurent pas déjà au dossier. Interpellée conformément à l’art. 450d al. 1 CC, la justice de paix a déclaré se référer à sa décision.</w:t>
      </w:r>
    </w:p>
    <w:p>
      <w:r>
        <w:t>- 6 -</w:t>
      </w:r>
    </w:p>
    <w:p>
      <w:r>
        <w:rPr>
          <w:b/>
        </w:rPr>
        <w:t>E. 2</w:t>
      </w:r>
    </w:p>
    <w:p>
      <w:r>
        <w:t>Le recourant soutient que la situation de D.________ ne constitue pas un cas lourd au sens de l’art. 40 al. 4 LVPAE et que le mandat peut être confié à un curateur privé. Il fait valoir que l’intéressé ne souffre d’aucune maladie psychique ni de dépendance et ne présente pas de comportement violent, qu’il est conscient de ses problèmes de gestion financière et est enclin à collaborer, qu’il bénéficie du RI et est suivi par le CSR de [...], que le mandat de curatelle implique uniquement une gestion administrative et financière et que la mesure a été gérée par une curatrice privée jusqu’alors. a) Aux termes de l’art. 400 al. 1 CC, l’autorité de protection de l’adulte nomme curateur une personne physique qui possède les aptitudes et les connaissances nécessaires à l’accomplissement des tâches qui lui seront confiées, qui dispose du temps nécessaire et qui les exécute en personne. Selon le Message du Conseil fédéral du 28 juin 2006 à l’appui de la révision du droit de la protection de l’adulte, une personne exerçant la fonction à titre privé peut être chargée d’une curatelle; la nécessité de continuer à confier des curatelles à des personnes privées n’est contestée ni dans la doctrine ni dans la jurisprudence, cette solution présentant "l’avantage de contrer quelque peu la tendance consistant à déléguer la responsabilité d’aider son prochain à des professionnels et à des institutions" (FF 2006 p. 6683 ch. 2.2.5). La doctrine ne remet ainsi pas en discussion l’intervention de curateurs privés (cf. Reusser, Basler Kommentar, 5e éd., Bâle, nn. 14 s. ad art. 400 CC, p. 2241; Häfeli, in Commentaire du droit de la famille [CommFam], Protection de l’adulte, Berne 2013, n. 7 ad art. 400 CC, pp. 507 et 508; Meier/Lukic, Introduction au nouveau droit de la protection de l’adulte, 2011, n. 541 et les notes 643/644, p. 246). Si la loi ne consacre pas de hiérarchie entre les différentes catégories de curateurs (FF 2006 p. 6683 ch. 2.2.5) – plusieurs dispositions étant toutefois destinées au curateur professionnel (cf. art. 404 aI. 1, 421 ch. 3, 424 et 425 al. 1 CC) – cela ne signifie pas qu’un</w:t>
      </w:r>
    </w:p>
    <w:p>
      <w:r>
        <w:t>- 7 - curateur privé pourrait être investi de n’importe quelle mesure de protection. Comme l’observe le Conseil fédéral, la complexité de certaines tâches limite le recours à des non-professionnels (loc. cit.). Ces considérations ne sont pas étrangères à l’art. 40 al. 4 LVPAE (TF 5A_699/2013 du 29 novembre 2014 c. 4.1). L'art. 40 LVPAE prévoit une distinction entre les mandats de protection pouvant être confiés à des curateurs ou tuteurs privés (al. 1, «cas simples» ou «cas légers») et ceux pouvant être attribués à l'entité de curateurs et tuteurs professionnels (al. 4, «cas lourds»). Selon l'art. 40 al. 1 LVPAE, sont en principe confiés à un tuteur/curateur privé les mandats de protection pour lesquels une personne respectant les conditions légales de nomination se propose volontairement ou accepte sa désignation sur demande du pupille (let. a); les mandats de protection pouvant être confiés à un notaire, un avocat, une fiduciaire ou tout autre intervenant privé ayant les compétences professionnelles requises pour gérer un patrimoine financier (let. b); les mandats de protection qui concernent les pupilles placés dans une institution qui assume une prise en charge continue (let. c); les mandats de protection qui, après leur ouverture et leur mise à jour complète, n'appellent qu'une gestion administrative et financière des biens du pupille (let. d) et tous les cas qui ne relèvent pas de l'alinéa 4 de cette disposition (let. e). Aux termes de l’art. 40 al. 4 LVPAE, sont en principe confiés à l'entité de curateurs et tuteurs professionnels les mandats de protection présentant à l’évidence les caractéristiques suivantes : problèmes de dépendance liés aux drogues dures (let. a); tout autre problème de dépendance non stabilisé ou dont la médication ou la thérapie prescrite n'est pas suivie par la personne concernée (let. b); maladies psychiques graves non stabilisées (let. c); atteinte à la santé dont le traitement implique des réunions de divers intervenants sociaux ou médicaux (let. d); déviance comportementale (let. e); marginalisation (let. f); problèmes liés à un dessaisissement de fortune (let. g); tous les cas d'urgence au sens de</w:t>
      </w:r>
    </w:p>
    <w:p>
      <w:r>
        <w:t>- 8 - l'art. 445 CC, sous réserve des cas visés par les lettres a) et b) de l'alinéa 1 de la présente disposition (let. h) et tout autre cas qui, en regard des lettres a) à h) du présent alinéa, peut être objectivement évalué comme trop lourd à gérer pour un tuteur/curateur privé (let. i). Cette liste n'est pas exhaustive (Exposé des motifs et projet de loi [EMPL] modifiant la loi du 30 novembre 1910 d’introduction dans le Canton de Vaud du Code civil suisse [LVCC] et le Code de procédure civile du 14 décembre 1966 [CPC- VD], décembre 2010, n. 361, ch. 5.1, commentaire introductif ad art. 97a al. 2 LVCC, p. 10, auquel renvoie l'EMPL de la loi vaudoise d'application du droit fédéral de la protection de l'adulte et de l'enfant, novembre 2011, no 441, p. 109). L'utilisation des termes «en principe» tant à l'alinéa 1 qu'à l'alinéa 4 de l'art. 40 LVPAE témoigne de la volonté du législateur de laisser une marge d'appréciation à l'autorité de protection quant à la distinction entre les cas simples et les cas lourds. b) En l’espèce, aucun élément au dossier ne permet de considérer que D.________ souffrirait d’une maladie psychique ou d’une quelconque dépendance. En outre, il semble être conscient de ses problèmes de gestion. De plus, l’ancienne curatrice n’a pas été relevée de son mandat pour pouvoir être remplacée par un curateur professionnel. C’est uniquement à la suite du changement de for que cela a été considéré opportun par la Justice de paix de l’arrondissement de la Veveyse. Il apparaît donc que la situation de la personne concernée n’est pas particulièrement complexe. En revanche, on ignore quel est le domicile actuel de l’intéressé, qui semble être parti au Portugal sans laisser d’adresse. Le fait que l’art. 40 al. 1 let. d LVPAE prévoie qu’après la mise à jour complète du mandat, celui-ci peut être confié à un privé, signifie que c’est bien à un professionnel qu’il revient de faire cette mise à jour. Or, les éclaircissements nécessaires quant au domicile de D.________ relèvent de cette mise à jour. Même s’il est regrettable que les circonstances ayant justifié la désignation d’un tel curateur soient évoquées postérieurement à</w:t>
      </w:r>
    </w:p>
    <w:p>
      <w:r>
        <w:t>- 9 - la décision, on doit considérer que c’est à juste titre que les premiers juges ont confié le mandat à un curateur professionnel.</w:t>
      </w:r>
    </w:p>
    <w:p>
      <w:r>
        <w:rPr>
          <w:b/>
        </w:rPr>
        <w:t>E. 3</w:t>
      </w:r>
    </w:p>
    <w:p>
      <w:r>
        <w:t>En conclusion, le recours interjeté par V.________ doit être rejeté et la décision entreprise confirmée. Le présent arrêt peut être rendu sans frais judiciaires (art. 74a al. 4 TFJC [Tarif du 28 septembre 2010 des frais judiciaires civils, RSV 270.11.5]). Par ces motifs, la Chambre des curatelles du Tribunal cantonal, statuant à huis clos, prononce : I. Le recours est rejeté. II. La décision est confirmée. III. L’arrêt est rendu sans frais judiciaires. IV. L'arrêt motivé est exécutoire. La présidente : La greffière : Du 12 mars 2015 Le dispositif de l'arrêt qui précède est communiqué par écrit aux intéressés. La greffière :</w:t>
      </w:r>
    </w:p>
    <w:p>
      <w:r>
        <w:t>- 10 - Du L'arrêt qui précède, dont la rédaction a été approuvée à huis clos, est notifié à : - M. V.________, Office des curatelles et tutelles professionnelles, - M. D.________, et communiqué à : - Justice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