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OE13.001657 vom 9. Juli 2014</w:t>
      </w:r>
    </w:p>
    <w:p>
      <w:r>
        <w:t>VD Tribunal cantonal, 2014-07-09, FR</w:t>
      </w:r>
    </w:p>
    <w:p>
      <w:r>
        <w:rPr>
          <w:b/>
        </w:rPr>
        <w:t xml:space="preserve">Quelle: </w:t>
      </w:r>
      <w:r>
        <w:t>https://mcp.opencaselaw.ch/entscheid/vd_gerichte_OE13.001657</w:t>
      </w:r>
    </w:p>
    <w:p>
      <w:r>
        <w:t>FR: VD_GERICHTE OE13.001657 du 9 juillet 2014</w:t>
      </w:r>
    </w:p>
    <w:p>
      <w:r>
        <w:t>IT: VD_GERICHTE OE13.001657 del 9 luglio 2014</w:t>
      </w:r>
    </w:p>
    <w:p>
      <w:pPr>
        <w:pStyle w:val="Heading2"/>
      </w:pPr>
      <w:r>
        <w:t>Erwägungen</w:t>
      </w:r>
    </w:p>
    <w:p>
      <w:r>
        <w:rPr>
          <w:b/>
        </w:rPr>
        <w:t>E. 1</w:t>
      </w:r>
    </w:p>
    <w:p>
      <w:r>
        <w:t>Le recours est dirigé contre une décision de la justice de paix instituant une curatelle de représentation et de gestion à forme des art. 394 al. 1 et 395 al. 1 CC en faveur de V.________. a) Contre une décision instituant une curatelle de représentation et de gestion,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b) En l'espèce, interjeté en temps utile par l'intéressée elle- même, le présent recours est recevable à la forme. Le recours étant manifestement mal fondé au vu des considérations qui seront développées ci-après, le curateur provisoire n'a pas été invité à se déterminer (art. 312 al. 1 CPC, applicable par renvoi de l'art. 450f CC) et il</w:t>
      </w:r>
    </w:p>
    <w:p>
      <w:r>
        <w:t>- 8 - a été renoncé à consulter l'autorité de protection (cf. art. 450d al. 1 CC ; Reusser, Basler Kommentar, op. cit., nn. 6 ss ad art. 450d CC, pp. 657 s.).</w:t>
      </w:r>
    </w:p>
    <w:p>
      <w:r>
        <w:rPr>
          <w:b/>
        </w:rPr>
        <w:t>E. 2</w:t>
      </w:r>
    </w:p>
    <w:p>
      <w:r>
        <w:t>La recourante conteste la curatelle instituée en sa faveur – qu'elle qualifie de curatelle de portée générale – et demande qu'une mesure moins lourde soit instituée, comme une curatelle volontaire. Elle nie avoir un retard mental, estimant que cela est dû à sa courte scolarité, et considère que la curatelle instituée rendrait plus difficile l'élargissement du droit de visite envers son fils. a) Selon l’art. 393 al. 1 CC, une curatelle d’accompagnement est instituée, avec le consentement de la personne qui a besoin d’aide, lorsque celle-ci doit être assistée pour accomplir certains actes. Inspirée de la curatelle volontaire de l’ancien droit (art. 394 aCC ; Message, Feuille fédérale [FF] 2006 p. 6678), elle ne peut être instituée que si les conditions matérielles de l’art. 390 CC sont réalisées et que la personne concernée a consenti à la mesure (cf. TF 5A_702/2013 du 10 décembre 2013 c. 4.4, non publié in ATF 140 III 49 mais résumé in Revue de la protection des mineurs et des adultes [RMA] 2014, p. 133; Meier, Commentaire du droit de la famille, Protection de l’adulte, Berne 2013 (cité ci-après : Meier, CommFam),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nn. 5.23 et 5.25, p. 143; Meier, CommFam, op. cit., nn. 17, 18, 20 ad art. 393 CC, pp. 428 ss). Conformément à l’art. 394 al. 1 CC, une curatelle de représentation est instituée lorsque la personne qui a besoin d’aide ne peut accomplir certains actes et doit de ce fait être représentée. La curatelle de représentation a pour effet, dans tous les cas, que la</w:t>
      </w:r>
    </w:p>
    <w:p>
      <w:r>
        <w:t>- 9 -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op. cit., nn. 15 à 26 ad art. 394 CC, pp. 439 ss, et n. 11 ad art. 395 CC, p. 452; Meier/Lukic, Introduction au nouveau droit de protection de l'adulte, 2011, n. 463, p. 216).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op. cit., n. 460, p. 215).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 s.,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 même certaines affaires et doit donc être représentée. Il n’y a pas lieu d’ordonner une curatelle de représentation et/ou de gestion si la curatelle</w:t>
      </w:r>
    </w:p>
    <w:p>
      <w:r>
        <w:t>- 10 - d’accompagnement suffit aux besoins de la personne concernée (TF 5A_667/2013 du 12 novembre 2013 c. 6.1 et 6.2).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b) En l’espèce, la recourante a été mise au bénéfice d'une curatelle de représentation et de gestion provisoire le 8 janvier 2013. Selon les constatations des médecins mandatés par l'autorité de protection pour procéder à l'expertise psychiatrique de la recourante, celle-ci souffre d'un trouble de la personnalité doublé d'un retard mental léger avec un probable trouble du développement. Même si la recourante conserve une certaine compréhension de ses affaires administrative et financière, elle rencontre des limites dans sa capacité à les gérer. En outre, les experts relèvent que la recourante minimise ses troubles et leur impact. Elle a en outre une capacité de discernement très fluctuante. Ils relèvent d'ailleurs l'importance d'une structure contenante, soit le séjour en appartement protégé assorti d'un suivi psychiatrique, pour l'aider à regagner une autonomie satisfaisante. En définitive, les experts préconisent la mise en place d'une mesure de curatelle de portée générale. A l'audience, la curatrice professionnelle a souligné que la recourante collaborait bien et était d'accord de rester dans une structure.</w:t>
      </w:r>
    </w:p>
    <w:p>
      <w:r>
        <w:t>- 11 - La curatrice a estimé qu'il était nécessaire que la recourante bénéficie d'une mesure, mais qu'elle devrait être adaptée en fonction de son état; celle-ci se trouvait au jour de l'audience dans une situation transitoire qui nécessitait une mesure lourde. Au vu de ces éléments tant la cause de la mesure que le besoin de protection sont manifestes. Le retard mental diagnostiqué n'est pas fonction du parcours scolaire difficile de la recourante, comme celle-ci semble le croire, mais de l'examen psychologique mené par les experts. Il ne représente d'ailleurs qu'une partie des troubles dont souffre l'intéressée. Comme cela résulte de l'expertise et des dires de la curatrice professionnelle, la recourante nécessite une protection générale, puisqu'elle est incapable de gérer et sauvegarder elle-même ses intérêts. Une curatelle de portée générale aurait pu être envisagée au vu des éléments mis en exergue par les experts, qui ne sont guère contredits par la curatrice professionnelle, celle-ci estimant au contraire qu'une mesure lourde était encore nécessaire dans la situation transitoire dans laquelle se trouvait la recourante. Les premiers juges ont ainsi largement tenu compte du principe de proportionnalité, en prononçant uniquement une curatelle de représentation et de gestion et non une curatelle de portée générale, comme le croit la recourante. Ils se sont fondés sur la collaboration au moins partielle que manifestait la recourante, ainsi que sur le fait que la curatelle de représentation et de gestion provisoire instituée le 8 janvier 2013 s'était révélée adaptée aux besoins de la recourante. Cette appréciation ne prête pas le flanc à la critique. La curatelle volontaire que propose la recourante, qui était connue à l'art. 394 aCC, a été supprimée dans le nouveau droit de protection de l'adulte. Une mesure plus légère, telle que la curatelle d'accompagnement au sens de l'art. 393 CC, serait manifestement insuffisante à assurer la protection de la recourante, dès lors que le rôle de la curatelle d'accompagnement est de pur soutien, alors que la recourante, dont la capacité de discernement est très fluctuante et qui est</w:t>
      </w:r>
    </w:p>
    <w:p>
      <w:r>
        <w:t>- 12 - incapable de gérer elle-même ses affaires, a besoin d'un curateur qui soit investi d'un pouvoir de gestion et de représentation. Il importe dès lors peu que l'intéressée soit collaborante, cette collaboration n'étant d'ailleurs que partielle. On peut enfin souligner que les premiers juges n'ont pas prononcé une mesure de curatelle de portée générale – entraînant de plein droit le retrait de l'exercice des droits civils (art. 398 al. 3 CC) – ce qui aurait eu pour conséquence de priver la recourante de l'autorité parentale sur son enfant (art. 296 al. 2 CC). Sous cet angle également, la décision des premiers juges est conforme au principe de proportionnalité. Les craintes exprimées par la recourante sur les implications qu'aurait la mesure prononcée quant à l'étendue de son droit de visite sont injustifiées. L'étendue des relations personnelles se détermine en fonction du seul intérêt de l'enfant et est indépendant de la mesure de protection dont bénéficie le parent concerné. La curatrice professionnelle pourra au demeurant aider la recourante dans ses démarches à ce sujet.</w:t>
      </w:r>
    </w:p>
    <w:p>
      <w:r>
        <w:rPr>
          <w:b/>
        </w:rPr>
        <w:t>E. 3</w:t>
      </w:r>
    </w:p>
    <w:p>
      <w:r>
        <w:t>En conclusion, le recours interjeté par V.________ doit être rejeté et la décision entreprise confirmée. Le présent arrêt peut être rendu sans frais judicaires (art. 74a al. 4 TFJC [tarif du 28 septembre 2010 des frais judiciaires civils, RSV 270.11.5]). Par ces motifs, la Chambre des curatelles du Tribunal cantonal, statuant à huis clos, prononce : I. Le recours est rejeté</w:t>
      </w:r>
    </w:p>
    <w:p>
      <w:r>
        <w:t>- 13 - II. La décision est confirmée. III. L'arrêt est rendu sans frais judiciaires. La présidente : La greffière : Du 9 juillet 2014 Le dispositif de l'arrêt qui précède est communiqué par écrit aux intéressés. La greffière : Du L'arrêt qui précède, dont la rédaction a été approuvée à huis clos, est notifié à : - Mme V.________, - Office des curatelles et tutelles professionnelles, Mme N.________, et communiqué à : - Justice de paix du district du Jura-Nord vaudois, par l'envoi de photocopies.</w:t>
      </w:r>
    </w:p>
    <w:p>
      <w:r>
        <w:t>- 14 -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