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OD25.022874 vom 26. Juni 2025</w:t>
      </w:r>
    </w:p>
    <w:p>
      <w:r>
        <w:t>VD Tribunal cantonal, 2025-06-26, FR</w:t>
      </w:r>
    </w:p>
    <w:p>
      <w:r>
        <w:rPr>
          <w:b/>
        </w:rPr>
        <w:t xml:space="preserve">Quelle: </w:t>
      </w:r>
      <w:r>
        <w:t>https://mcp.opencaselaw.ch/entscheid/vd_gerichte_OD25.022874</w:t>
      </w:r>
    </w:p>
    <w:p>
      <w:r>
        <w:t>FR: VD_GERICHTE OD25.022874 du 26 juin 2025</w:t>
      </w:r>
    </w:p>
    <w:p>
      <w:r>
        <w:t>IT: VD_GERICHTE OD25.022874 del 26 giugno 2025</w:t>
      </w:r>
    </w:p>
    <w:p>
      <w:pPr>
        <w:pStyle w:val="Heading2"/>
      </w:pPr>
      <w:r>
        <w:t>Volltext</w:t>
      </w:r>
    </w:p>
    <w:p>
      <w:r>
        <w:t>TRIBUNAL CANTONAL OD25.022874-250651 121 CHAMBRE DE S CURATELLE S ___________________________________ Arrêt du 26 juin 2025 __________________ Composition : Mme CHOLLET, présidente Mme Bendani et M. Oulevey, juges Greffier : Mme Rodondi ***** Art. 394 al. 1, 395 al. 3, 446 et 450 CC La Chambre des curatelles du Tribunal cantonal prend séance pour statuer sur le recours interjeté par B.________, à [...], contre la décision rendue le 8 avril 2025 par la Justice de paix du district de l’Ouest lausannois dans la cause la concernant. Délibérant à huis clos, la Chambre voit : 252</w:t>
      </w:r>
    </w:p>
    <w:p>
      <w:r>
        <w:t>- 2 - En fait : A. Par décision du 8 avril 2025, notifiée à B.________ le 16 mai 2025, la Justice de paix du district de l’Ouest lausannois (ci-après : la justice de paix ou les premiers juges) a mis fin à l'enquête en institution d'une curatelle ouverte en faveur de B.________ (ci-après : la personne concernée ou l’intéressée) (I), institué une curatelle de représentation et de gestion avec restriction de la faculté d'accéder à certains biens au sens des art. 394 al. 1 et 395 al. 3 CC (Code civil suisse du 10 décembre 1907 ; RS 210) en faveur de la prénommée (II), privé B.________ de sa faculté d'accéder aux comptes bancaires dont elle était titulaire, sous réserve d'un compte laissé à sa libre disposition par la curatrice (III), nommé A.________, responsable de mandats de protection auprès du Service des curatelles et tutelles professionnelles (ci-après : le SCTP), en qualité de curatrice et dit qu'en cas d'absence de cette dernière, ledit service assurerait son remplacement en attendant son retour ou la désignation d'un nouveau curateur (IV), dit que la curatrice aurait pour tâches, dans le cadre de la curatelle de représentation, de représenter B.________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B.________, d’administrer ses biens avec diligence, de la représenter dans ce cadre, notamment à l'égard des établissements financiers, d’accomplir les actes juridiques liés à la gestion et de la représenter, si nécessaire, pour ses besoins ordinaires (V), invité la curatrice à remettre au juge, dans un délai de huit semaines dès notification de la décision, un inventaire des biens de B.________, accompagné d'un budget annuel et à soumettre des comptes tous les deux ans à l'approbation de la juge de paix, avec un rapport sur son activité et sur l'évolution de la situation de l'intéressée (VI) et laissé les frais à la charge de l'Etat (VII). En droit, les premiers juges ont considéré que l’institution d’une curatelle de représentation et de gestion était adéquate et</w:t>
      </w:r>
    </w:p>
    <w:p>
      <w:r>
        <w:t>- 3 - suffisante pour assurer la protection des intérêts de B.________. Ils ont retenu en substance qu’en raison de sa situation personnelle et sociale, cette dernière n’était pas en mesure de gérer ses affaires administratives et financières ni d’assurer elle-même la sauvegarde de ses intérêts et que l’aide que pourraient lui fournir ses proches ou les services privés ou publics était insuffisante. Ils ont estimé que compte tenu de la vulnérabilité de l’intéressée, de sa tendance au retrait de sommes d’argent et au vu du risque d’être influencée par des tiers malveillants et de dilapider son patrimoine, il y avait lieu de la priver de sa faculté d’accéder aux comptes bancaires dont elle était titulaire. Ils ont relevé que B.________ avait adhéré à cette restriction. B. Par acte non daté, déposé au guichet de la justice de paix le 27 mai 2025, B.________ (ci-après : la recourante) a recouru contre cette décision, concluant à la suppression avec effet immédiat de la curatelle instituée en sa faveur et au déblocage de sa carte bancaire. Le même jour, la justice de paix a transmis cette écriture ainsi que le dossier de la cause à la Chambre de céans. Le 16 juin 2025, la justice de paix a fait parvenir à la Chambre de céans une copie d’un courrier de B.________ du 11 juin 2025, ainsi que de ses annexes. C. La Chambre retient les faits suivants : Le 6 février 2025, C.________, intervenant socio-éducatif auprès du Service [...] de la Ville de [...], a adressé à la justice de paix une demande de curatelle concernant B.________, née le [...] 1942. Il a exposé que cette dernière était sans domicile fixe, vivait dans les hébergements d’urgence de la Ville de [...] depuis 2017 et disposait d’une chambre à [...], logement de transition à [...], depuis le 24 octobre 2023. Il a indiqué que l’intéressée était en attente d’un héritage de la part d’un lointain parent</w:t>
      </w:r>
    </w:p>
    <w:p>
      <w:r>
        <w:t>- 4 - aux [...] et échangeait sur WhatsApp avec une personne résidant dans ce pays qui s’occupait de la succession, ainsi qu’avec un avocat qui officierait en tant que juge au [...]. Il a mentionné que depuis plusieurs mois, B.________ attendait un colis de DHL qui serait en Suisse, mais devait encore payer des milliers de francs pour le recevoir. Il a déclaré que « cette histoire sentait l’arnaque à plein nez », mais que l’intéressée y croyait et était certaine qu’elle allait bientôt recevoir cet argent, se braquant lorsqu’il essayait de la raisonner. Il a relaté que B.________ disait qu’elle payerait ses poursuites dès qu’elle aurait touché l’héritage. Il a ajouté qu’elle était en bonne santé physique, mais qu’il avait des doutes sur sa santé mentale. Le 4 mars 2025, la Juge de paix du district de l’Ouest lausannois (ci-après : la juge de paix) a procédé à l’audition de B.________ et de C.________. B.________ a indiqué qu’elle ne s’était jamais rendue auprès des services sociaux de la Ville de [...] car elle ne souhaitait pas recevoir d’aide pour le moment. Elle a relevé qu’en l’état, elle était opposée à l'institution d'une curatelle en sa faveur. Elle a rapporté qu'elle allait bientôt quitter [...] pour emménager avec une amie dans un appartement dans les hauts de [...], dont elle ne souhaitait pas communiquer l'adresse. Elle a affirmé qu’elle se rendait parfois chez le médecin, ce dont C.________ s’est étonné car elle ne lui en avait jamais parlé. Elle a mentionné qu'elle était dans l’attente d’un envoi de DHL qui se trouvait à [...], qu'elle avait des preuves, mais qu’elle refusait de les montrer pour l’instant. Elle a confirmé qu’elle avait un compte bancaire à son nom avec une carte, ainsi qu’une carte de crédit, qu'elle était en train de renouveler et dont elle n'avait communiqué le numéro ni au comptable ni à l'avocat. C.________ a quant à lui déclaré que le bail de [...] courait jusqu’à la fin de l’année, mais qu’il ignorait s’il serait prolongé. Il a souligné qu’il était difficile de trouver un autre logement à l’intéressée compte tenu de sa situation. Il a ajouté que cette dernière dépensait beaucoup d’argent en attente de l’héritage en provenance des [...], notamment pour recevoir un envoi de DHL, dans lequel se trouverait une carte bancaire. Il a considéré qu’il s’agissait d'une arnaque. B.________ a précisé qu’elle n’était pas la seule à participer au paiement et que l'avocat</w:t>
      </w:r>
    </w:p>
    <w:p>
      <w:r>
        <w:t>- 5 - et le comptable, dont elle ne souhaitait pas communiquer l’identité, faisaient le nécessaire. Le 8 avril 2025, la justice de paix a procédé à l’audition de B.________ et de C.________. B.________ a expliqué qu’elle s’était renseignée sur la curatelle et n’était pas opposée à l'institution d'une telle mesure en sa faveur, pendant une durée de deux mois. Elle a confirmé avoir saisi la portée de la décision à intervenir, ainsi que le fait que la mesure pourrait être assortie d'une éventuelle restriction de l'accès à ses comptes. Elle a estimé qu'une fois les problématiques liées à son logement et à l'argent de DHL résolues, elle n’aurait plus besoin de mesure de protection. Elle a déclaré qu'elle ne consultait pas de médecin car elle n'avait pas de problème de santé et ne prenait aucun médicament. C.________ a pour sa part rapporté que sur demande de DHL, B.________ avait envoyé de l'argent à l'étranger, ce que l'intéressée a confirmé, indiquant ignorer quel montant elle avait versé, au contraire de son comptable et de son avocat, qui étaient à l'étranger. C.________ a relevé qu'en cas de besoin, la personne concernée pouvait consulter des infirmières au Centre [...], où elle faisait sa lessive. Il a souligné que personne ne s’était inquiété quant à l'état de santé de B.________. Par courrier du 11 juin 2025, B.________ a demandé au SCTP de « débloquer sa carte CCP et la sortir du dossier de curatelle ». En d roit : 1. 1.1 Le recours est dirigé contre une décision de la justice de paix instituant une curatelle de représentation et de gestion avec privation de la faculté d’accéder à certains biens en faveur de la recourante. 1.2</w:t>
      </w:r>
    </w:p>
    <w:p>
      <w:r>
        <w:t>- 6 - 1.2.1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w:t>
      </w:r>
    </w:p>
    <w:p>
      <w:r>
        <w:t>- 7 -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1.3 Motivé et interjeté en temps utile par la personne concernée, le recours est recevable.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B.________ a été entendue par la juge de paix lors de l’audience du 4 mars 2025, puis par la justice de paix en corps lors de celle du 8 avril 2025, de sorte que son droit d’être entendue a été respecté.</w:t>
      </w:r>
    </w:p>
    <w:p>
      <w:r>
        <w:t>- 8 - L’intervenant socio-éducatif a également été entendu à ces deux audiences. La décision entreprise est donc formellement correcte et peut être examinée sur le fond. 3. 3.1 La recourante demande la levée de la curatelle instituée en sa faveur. Elle reproche aux premiers juges d’avoir retenu les allégations de C.________, affirmant qu’il s’agit de faux témoignages. Elle soutient que DHL est une société mondiale qui ne commet pas d’escroquerie. Elle relève que le directeur de cette société lui a confirmé que la livraison serait effectuée le 9 juin 2025 une fois la dernière taxe payée. Elle déclare qu’elle se sent saine de corps et d’esprit et estime qu’il n’est pas de la responsabilité de la justice de paix de décider si elle doit être mise sous curatelle. Elle indique que depuis l’instauration de cette mesure, elle ne peut plus utiliser sa carte bancaire et n’a plus les moyens de s’acheter à manger.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w:t>
      </w:r>
    </w:p>
    <w:p>
      <w:r>
        <w:t>- 9 -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w:t>
      </w:r>
    </w:p>
    <w:p>
      <w:r>
        <w:t>- 10 - d’ordre patrimonial et/ou personnel (TF 5A_551/2021 du 7 décembre 2021 consid. 4.1.1 ; TF 5A_624/2020 du 25 février 2021 consid. 5 ; Meier, Droit de la protection de l’adulte,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 3.2.3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w:t>
      </w:r>
    </w:p>
    <w:p>
      <w:r>
        <w:t>- 11 - curateur, même si elle a conservé l’exercice des droits civils (Meier, Droit de la protection de l’adulte, n. 818, pp. 440 et 441 ; Meier, CommFam, nn. 15 à 26 ad art. 394 CC, pp. 439 ss, et n. 11 ad art. 395 CC, p. 452). 3.2.4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ATF 140 III 1 ; TF 5A_417/2018 du 17 octobre 2018 consid 4.2.2 et les références citées ; TF 5A_192/2018 du 30 avril 2018 consid. 3.1 et les références citées).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w:t>
      </w:r>
    </w:p>
    <w:p>
      <w:r>
        <w:t>- 12 -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 3.2.5 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(art. 446 al. 2 CC), en particulier pour déterminer l’existence d’un trouble psychique ou d’une déficience mentale (Meier, Droit de la protection de l’adulte, n. 206, p. 109). Le Tribunal fédéral a rappelé qu’une expertise médicale s'avère indispensable pour ordonner l'instauration d'une mesure limitant l'exercice des droits civils d'une personne en raison d'un trouble psychique ou d'une déficience mentale, à moins que l'un des membres de l'autorité de protection ne dispose des compétences médicales nécessaires (ATF 140 III 97 consid. 4 ; TF 5A_417/2018 du 17 octobre 2018 consid. 4.3.1 ; TF 5A_617/2014 du 1er décembre 2014 consid. 4.3).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(CCUR 23 décembre 2021/267 consid. 2.3.1 ; Meier, Droit de la protection de l’adulte, n. 209, p. 110). Un certificat médical peut ainsi suffire. L’autorité de protection est toutefois soumise à un devoir illimité d’établir les faits, toutes les méthodes d’investigation étant admissibles (cf. art. 168 CPC ; CCUR 3 avril 2023/63 consid. 2.1.2 ; Steck, CommFam, nn 10 ss ad art. 446 CC, p. 855).</w:t>
      </w:r>
    </w:p>
    <w:p>
      <w:r>
        <w:t>- 13 - 3.3 En l’espèce, la justice de paix s’est fondée sur la demande de curatelle de C.________ du 6 février 2025, ainsi que sur les déclarations du prénommé et de la recourante aux audiences des 4 mars et 8 avril 2025, sans autre mesure d’instruction. Si B.________ a certes donné son accord à l’instauration d’une curatelle en sa faveur pour une durée de deux mois lors de la seconde audience, elle s’oppose désormais à la mesure instituée. Or, aucun élément médical ne figure au dossier qui permettrait de confirmer que l’intéressée a besoin d'une assistance sous la forme d'une curatelle. On ignore si elle souffre de troubles justifiant une telle mesure et dans quelle mesure ces éventuels troubles impacteraient sa capacité à gérer ses affaires. Il résulte de ce qui précède que le dossier constitué n’est pas suffisamment instruit pour permettre à la Chambre de céans de se prononcer sur le bien-fondé de la mesure litigieuse. Il convient par conséquent de renvoyer le dossier à l’autorité de première instance pour continuer l’enquête en institution d’une curatelle et requérir un rapport médical détaillé sur la cause et le besoin de protection de B.________ ou une expertise psychiatrique. 4. En conclusion, le recours interjeté par B.________ doit être admis et la décision entreprise annulée, la cause étant renvoyée à la justice de paix pour complément d’instruction et nouvelle décision dans le sens des considérants. Le présent arrêt peut être rendu sans frais judiciaires (art. 74a al. 4 TFJC [Tarif du 28 septembre 2010 des frais judiciaires civils ; BLV 270.11 .5]).</w:t>
      </w:r>
    </w:p>
    <w:p>
      <w:r>
        <w:t>- 14 - Par ces motifs, la Chambre des curatelles du Tribunal cantonal, statuant à huis clos, prononce : I. Le recours est admis. II. La décision rendue le 8 avril 2025 est annulée et la cause renvoyée à la Justice de paix du district de l’Ouest lausannois pour complément d’instruction et nouvelle décision dans le sens des considérants. III. L’arrêt est rendu sans frais judiciaires de deuxième instance. La présidente : La greffière : Du L'arrêt qui précède, dont la rédaction a été approuvée à huis clos, est notifié à : - Mme B.________, - Services des curatelles et tutelles professionnelles, à l’att. de Mme A.________, - Service [...], à l’att. de M. C.________, et communiqué à : - Mme la Juge de paix du district de l’Ouest lausannois,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