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OD20.045576 vom 13. April 2021</w:t>
      </w:r>
    </w:p>
    <w:p>
      <w:r>
        <w:t>VD Tribunal cantonal, 2021-04-13, FR</w:t>
      </w:r>
    </w:p>
    <w:p>
      <w:r>
        <w:rPr>
          <w:b/>
        </w:rPr>
        <w:t xml:space="preserve">Quelle: </w:t>
      </w:r>
      <w:r>
        <w:t>https://mcp.opencaselaw.ch/entscheid/vd_gerichte_OD20.045576</w:t>
      </w:r>
    </w:p>
    <w:p>
      <w:r>
        <w:t>FR: VD_GERICHTE OD20.045576 du 13 avril 2021</w:t>
      </w:r>
    </w:p>
    <w:p>
      <w:r>
        <w:t>IT: VD_GERICHTE OD20.045576 del 13 aprile 2021</w:t>
      </w:r>
    </w:p>
    <w:p>
      <w:pPr>
        <w:pStyle w:val="Heading2"/>
      </w:pPr>
      <w:r>
        <w:t>Erwägungen</w:t>
      </w:r>
    </w:p>
    <w:p>
      <w:r>
        <w:rPr>
          <w:b/>
        </w:rPr>
        <w:t>E. 2</w:t>
      </w:r>
    </w:p>
    <w:p>
      <w:r>
        <w:t>Dans un courriel du 18 février 2021, A.M.________ a informé le juge de paix qu’il était de retour en Suisse et a demandé s’il pouvait reprendre la curatelle de son père. Le 24 février 2021, le juge de paix a imparti un délai au 26 mars 2021 au curateur pour se déterminer sur le contenu du courriel susnommé. I.________ et K.________, chef de groupe au SCTP, ont répondu par courrier du 11 mars 2021, exposant qu’ils avaient pris contact avec A.M.________ le 4 mars 2021. Ce dernier avait indiqué être rentré avec l’intention de rester ici quelques années pour s’occuper de son père et gérer ses affaires, précisant cependant avoir laissé sa famille aux Philippines et ne pas imaginer la faire venir à court ou à long terme. Il s’était installé chez son père et cherchait une activité lucrative. Les intervenants du SCTP estimaient que les intentions de A.M.________ apparaissaient « sinon irréalistes, du moins encore très floues et imprévisibles ». Ils avaient aussi contacté la fille d’B.M.________, laquelle n’était pas au courant du retour de son frère et s’inquiétait de la préservation des biens de son père. Selon I.________ et K.________, le mandat de curatelle ne pouvait pas être confié à A.M.________ au vu de cette situation. Par ailleurs, ceux-ci s’inquiétaient de la préservation des intérêts de la personne concernée au vu du comportement de son fils, lequel s’était installé au domicile de la personne concernée, s’enquérait auprès de l’EMS J.________ de questions financières, avait demandé à la banque accès au compte de son père et avait pris contact avec le gérant des biens immobiliers de la personne concernée pour demander la vente d’un immeuble. La sœur partageait ces inquiétudes, craignant que A.M.________ ne saisisse tout ce qu’il pouvait et reparte ensuite aux</w:t>
      </w:r>
    </w:p>
    <w:p>
      <w:r>
        <w:t>- 7 - Philippines. Les intervenants du SCTP demandaient l’autorisation d’entrer dans le domicile d’B.M.________ pour évaluer s’il y avait des biens de valeur. En outre, si le père ne consentait pas à ce que son fils demeure dans son logement ou n’avait pas la capacité de discernement à cet égard, I.________ et K.________ avaient l’intention de demander le paiement d’un loyer. Enfin, ces derniers demandaient l’élargissement de la privation d’accès de la personne concernée à ses biens immobiliers. Le juge de paix a fait droit à ces requêtes par ordonnance de mesures d’extrême urgence du 12 mars 2021. En d roit : 1. Le recours est dirigé contre une décision de la justice de paix instituant une curatelle de représentation et de gestion avec limitation de l’accès aux biens, au sens des art. 394 al. 1 et 395 al. 3 CC, en faveur d’B.M.________ et désignant I.________ en qualité de curateur.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w:t>
      </w:r>
    </w:p>
    <w:p>
      <w:r>
        <w:rPr>
          <w:b/>
        </w:rPr>
        <w:t>E. 2.1</w:t>
      </w:r>
    </w:p>
    <w:p>
      <w:r>
        <w:t>La procédure devant l'autorité de protection est régie par les art. 443 ss CC. La personne concernée doit être entendue personnellement, à moins que l’audition personnelle ne paraisse disproportionnée (art. 447 al. 1 CC). Une expertise psychiatrique n’est pas nécessaire lorsque la curatelle envisagée déploie des effets limités sur la capacité (restriction très ponctuelle de la capacité civile active par rapport à certains actes déterminés, dans le cadre des art. 394/395 CC [CCUR 23 juillet 2019/129</w:t>
      </w:r>
    </w:p>
    <w:p>
      <w:r>
        <w:t>- 11 - consid. 3.2 ; Meier, Droit de la protection de l’adulte, Art. 360-456 CC, Genève/Zurich/Bâle 2016, n. 209 p. 104 et les références citées]).</w:t>
      </w:r>
    </w:p>
    <w:p>
      <w:r>
        <w:rPr>
          <w:b/>
        </w:rPr>
        <w:t>E. 2.2</w:t>
      </w:r>
    </w:p>
    <w:p>
      <w:r>
        <w:t>En l’espèce, le juge de paix a procédé à l’audition d’B.M.________ le 7 janvier 2021, de sorte que son droit d’être entendu a été respecté. La décision querellée limite uniquement l’accès de la personne concernée à ses comptes bancaires et postaux. Une expertise n’était dès lors pas nécessaire. La décision entreprise est donc formellement correcte et peut être examinée sur le fond. 3. Le recourant fait valoir que son père s’oppose à l’instauration d’une curatelle. 3.1 3.1.1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w:t>
      </w:r>
    </w:p>
    <w:p>
      <w:r>
        <w:t>- 12 -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w:t>
      </w:r>
    </w:p>
    <w:p>
      <w:r>
        <w:t>- 13 -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 3.1 et les références citées).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 3.1.2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w:t>
      </w:r>
    </w:p>
    <w:p>
      <w:r>
        <w:t>- 14 -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3.1.3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par exemple, un véhicule de collection, des bijoux ou une œuvre d’art</w:t>
      </w:r>
    </w:p>
    <w:p>
      <w:r>
        <w:t>- 15 -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 3.2 En l’espèce, la situation d’B.M.________ a été signalée par les médecins de l’Hôpital psychiatrique de W.________. Ceux-ci font état d’importants troubles cognitifs. Le CMS avait par ailleurs pu constater, avant l’hospitalisation de la personne concernée, que celle-ci ne gérait plus ses affaires administratives et financières et qu’elle avait été aidée par un ami désormais décédé. Des factures étaient impayées. B.M.________ a également des biens immobiliers à gérer. D’ailleurs, le recourant ne prétend pas que son père serait apte à s’occuper de ses charges administratives et financières, mais entend gérer les affaires de son père. Ce dernier n’a en outre pas formé lui-même recours contre la décision litigieuse, ce qui démontre bien son incapacité à s’occuper de ses affaires. Au surplus, le procès-verbal de son audition montre aussi qu’il a des problèmes de discernement. Partant, dès lors que la personne concernée présente tant un état objectif de faiblesse qu’un besoin de protection, et au vu des circonstances, l’institution en faveur de celle-ci d’une curatelle de représentation et de gestion avec limitation de l’accès à ses comptes bancaires et/ou postaux – à l’exception de celui laissé à sa libre disposition par le curateur – s’imposait.</w:t>
      </w:r>
    </w:p>
    <w:p>
      <w:r>
        <w:rPr>
          <w:b/>
        </w:rPr>
        <w:t>E. 4</w:t>
      </w:r>
    </w:p>
    <w:p>
      <w:r>
        <w:t>Le recourant soutient que son père souhaite que ce soit lui qui s’occupe de ses affaires.</w:t>
      </w:r>
    </w:p>
    <w:p>
      <w:r>
        <w:rPr>
          <w:b/>
        </w:rPr>
        <w:t>E. 4.1</w:t>
      </w:r>
    </w:p>
    <w:p>
      <w:r>
        <w:t>- 16 -</w:t>
      </w:r>
    </w:p>
    <w:p>
      <w:r>
        <w:rPr>
          <w:b/>
        </w:rPr>
        <w:t>E. 4.1.1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n. 2 ad art. 401 CC, p. 519 ; TF 5A_904/2014 du 17 mars 2015 consid. 2.1).</w:t>
      </w:r>
    </w:p>
    <w:p>
      <w:r>
        <w:t>- 17 -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Les souhaits de la famille ou d’autres proches de la personne concernée sont aussi pris en considération (art. 401 al. 2 CC), en particulier si l’intéressé n’est pas en mesure de se prononcer lui-même sur</w:t>
      </w:r>
    </w:p>
    <w:p>
      <w:r>
        <w:t>- 18 -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 n. 3.1 ad art. 401 al. 3 CC, p. 686 ; Guide pratique COPMA 2012, n. 6.22, p. 187 ; CCUR 15 décembre 2020/236 consid. 4.1.1).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w:t>
      </w:r>
    </w:p>
    <w:p>
      <w:r>
        <w:rPr>
          <w:b/>
        </w:rPr>
        <w:t>E. 4.1.2</w:t>
      </w:r>
    </w:p>
    <w:p>
      <w:r>
        <w:t>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de l’affaire en cause (art. 403 al. 2 CC).</w:t>
      </w:r>
    </w:p>
    <w:p>
      <w:r>
        <w:rPr>
          <w:b/>
        </w:rPr>
        <w:t>E. 4.2</w:t>
      </w:r>
    </w:p>
    <w:p>
      <w:r>
        <w:t>En l’espèce, il résulte des explications des intervenants du SCTP qu’il y a un conflit entre frère et sœur, cette dernière étant inquiète que A.M.________ ne saisisse tout ce qu’il peut et reparte ensuite aux Philippines. En outre, le fait que le recourant ne soit pas intéressé par les avoirs et biens de son père est sujet à caution. En effet, il revient en</w:t>
      </w:r>
    </w:p>
    <w:p>
      <w:r>
        <w:t>- 19 - Suisse « pour quelques années » sans en informer sa sœur, s’installe d’autorité dans le logement de son père, n’a semble-t-il ni activité lucrative ni revenu, et demande accès au compte bancaire de la personne concernée. A tout le moins, il apparaît que la personne concernée n’a pas eu des contacts très rapprochés avec son fils. Il le considérait comme paresseux et ne souhaitait pas l’aider financièrement. Partant, la désignation d’un curateur professionnel s’imposait donc. Au demeurant, le fait que le recourant se soit de facto installé dans le logement de son père, a priori sans droit et sans payer de loyer, le met dans une situation de conflit d’intérêts, de sorte que ce seul élément empêchait déjà de le nommer curateur de son père (cf. art. 403 CC).</w:t>
      </w:r>
    </w:p>
    <w:p>
      <w:r>
        <w:rPr>
          <w:b/>
        </w:rPr>
        <w:t>E. 5</w:t>
      </w:r>
    </w:p>
    <w:p>
      <w:r>
        <w:t>En conclusion, le recours, manifestement infondé, doit être rejeté. Les frais judiciaires de deuxième instance, arrêtés à 300 fr. (art. 74a al. 1 TFJC [Tarif du 28 septembre 2010 des frais judiciaires civils ; BLV 270.11.5]), sont mis à la charge du recourant, qui succombe (art. 106 al. 1 CPC, applicable par renvoi de l’art. 12 al. 1 LVPAE). Par ces motifs, la Chambre des curatelles du Tribunal cantonal, statuant à huis clos, prononce : I. Le recours est rejeté dans la mesure de sa recevabilité. II. La décision est confirmée.</w:t>
      </w:r>
    </w:p>
    <w:p>
      <w:r>
        <w:t>- 20 - III. Les frais judiciaires de deuxième instance, arrêtés à 300 fr. (trois cents francs), sont mis à la charge du recourant A.M.________. Le président : Le greffier : Du L'arrêt qui précède, dont la rédaction a été approuvée à huis clos, est notifié à : - M. A.M.________, - M. B.M.________, - M. I.________, curateur, Service des curatelles et tutelles professionnelles,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