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OD15.027058 vom 26. August 2015</w:t>
      </w:r>
    </w:p>
    <w:p>
      <w:r>
        <w:t>VD Tribunal cantonal, 2015-08-26, FR</w:t>
      </w:r>
    </w:p>
    <w:p>
      <w:r>
        <w:rPr>
          <w:b/>
        </w:rPr>
        <w:t xml:space="preserve">Quelle: </w:t>
      </w:r>
      <w:r>
        <w:t>https://mcp.opencaselaw.ch/entscheid/vd_gerichte_OD15.027058</w:t>
      </w:r>
    </w:p>
    <w:p>
      <w:r>
        <w:t>FR: VD_GERICHTE OD15.027058 du 26 août 2015</w:t>
      </w:r>
    </w:p>
    <w:p>
      <w:r>
        <w:t>IT: VD_GERICHTE OD15.027058 del 26 agosto 2015</w:t>
      </w:r>
    </w:p>
    <w:p>
      <w:pPr>
        <w:pStyle w:val="Heading2"/>
      </w:pPr>
      <w:r>
        <w:t>Erwägungen</w:t>
      </w:r>
    </w:p>
    <w:p>
      <w:r>
        <w:rPr>
          <w:b/>
        </w:rPr>
        <w:t>E. 1</w:t>
      </w:r>
    </w:p>
    <w:p>
      <w:r>
        <w:t>Le recours est dirigé contre une décision de la justice de paix désignant K.________ en qualité de curateur au sens des art. 394 al. 1 et 395 al. 3 CC de A.J.________.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[cité ci- après : Steck, Basler Kommentar], n. 42 ad art. 450 CC, p. 2624). Conformément à l'art. 450d CC, la Chambre des curatelles donne à la justice de paix (art. 4 al. 1 LVPAE) l'occasion de prendre position (al. 1), cette autorité pouvant, au lieu de prendre position, reconsidérer sa décision (al. 2).</w:t>
      </w:r>
    </w:p>
    <w:p>
      <w:r>
        <w:t>- 5 -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interjeté en temps utile par le curateur désigné, le présent recours est recevable. L’autorité de protection a été interpellée conformé-ment à l’art. 450d al. 1 CC.</w:t>
      </w:r>
    </w:p>
    <w:p>
      <w:r>
        <w:rPr>
          <w:b/>
        </w:rPr>
        <w:t>E. 2</w:t>
      </w:r>
    </w:p>
    <w:p>
      <w:r>
        <w:t>Le recourant conteste sa désignation en qualité de curateur de A.J.________, invoquant en particulier avoir récemment signé un contrat de vente à terme et droit d’emption portant sur une maison d’habitation, devoir emménager rapidement dans celle-ci avec sa famille et devoir encore entreprendre de nombreuses démarches sur les plans financier et aménagement des lieux de sorte d’avoir tout achevé d’ici la mi-octobre 2015. En outre, il fait valoir que son épouse et lui-même projettent d’avoir un deuxième enfant et que cette nouvelle situation lui laissera encore moins de temps pour s’occuper d’une tâche annexe. Le recourant estime par conséquent ne pouvoir se charger de la curatelle confiée. a)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w:t>
      </w:r>
    </w:p>
    <w:p>
      <w:r>
        <w:t>- 6 -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[Message], FF 2006, p. 6683 ;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 Reusser, Basler Kommentar, op. cit., n. 48 ad art. 400 CC, p. 2252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«temps nécessaire» au sens de l’art. 400 al. 1 CC dont le curateur doit disposer pour accomplir les tâches qui lui seront confiées. Indépendamment de la disponibilité du curateur (Reusser, op. cit., n. 27 ad art. 400 CC, p. 2245), le critère déterminant pour la nomination d'une personne est son aptitude à accomplir les tâches qui lui seront confiées (Message, FF 2006 p. 6683). Le curateur doit posséder les</w:t>
      </w:r>
    </w:p>
    <w:p>
      <w:r>
        <w:t>- 7 - aptitudes et connaissances nécessaires aux tâches prévues (art. 400 al. 1 CC ; Guide pratique COPMA, 2012, nn. 6.5 ss, pp. 180 ss), c’est-à-dire les qualités personnelles et relationnelles ainsi que les compétences professionnelles requises pour les accomplir, l’autorité de protection étant tenue de vérifier d’office que cette condition est réalisée (FF 2006 p. 6683 ; TF 5A_691/2013 du 14 janvier 2014 c. 2.3.2 et réf. citées).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Lorsque l’intéressé formule des objections à sa nomination, l’autorité de protection doit examiner si celles-ci sont objectivement plausibles (ATF 140 III 1 c. 4.3.2). Selon le Message du Conseil fédéral, une personne exerçant la fonction à titre privé peut être chargée d’une curatelle ;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(TF 5A_691/2013 du 14 janvier 2014 ; TF 5A_699/2013 du 29 novembre 2013 ; Reusser, op. cit., nn. 14/15 ad art. 400 CC, p. 2241 ; Häfeli, in Commentaire du droit de la famille [CommFam], Protection de l’adulte, Berne 2013, n. 7 ad art. 400 CC, pp. 507 et 508 ; Meier/Lukic, Introduction au nouveau droit de la protection de l’adulte, 2011, n. 541 et les notes 643/644, p. 246). b) En l’espèce, le recourant invoque avoir des obligations familiales qui ne lui laissent pas suffisamment de temps pour se consacrer efficacement à l’administration de la curatelle. La curatelle instaurée demande effectivement un investissement cer-tain : la personne concernée, qui souffre de troubles</w:t>
      </w:r>
    </w:p>
    <w:p>
      <w:r>
        <w:t>- 8 - psychiques, a besoin d’un sou-tien important, notamment dans le cadre de la gestion de ses affaires administratives et financières. Notamment très endettée et manifestant une tendance à dépenser plus que nécessaire, elle a besoin d’un encadrement strict afin d’éviter que sa famille, notamment son jeune enfant, ne se trouve en difficulté. En outre, hormis la gestion de ses revenus, de sa fortune et l’établissement d’un budget familial, diverses démarches administratives doivent être entreprises. De son côté, le recourant doit terminer les opérations d’acquisition de la villa familiale et pourvoir à l’aménagement de celle-ci. Son épouse et lui-même prévoient d’agrandir la famille. Vu l’importance de la curatelle, le recourant ne disposera donc vraisemblablement pas du temps nécessaire pour administrer la charge qui lui a été confiée dans de bonnes conditions. Compte tenu des circonstances décrites, il n’est donc pas envisageable de laisser le mandat de curatelle au recourant. Il apparaît plus adéquat de l’en libérer et de confier celui-ci à un autre curateur qui sera plus apte à se charger des intérêts de A.J.________.</w:t>
      </w:r>
    </w:p>
    <w:p>
      <w:r>
        <w:rPr>
          <w:b/>
        </w:rPr>
        <w:t>E. 3</w:t>
      </w:r>
    </w:p>
    <w:p>
      <w:r>
        <w:t>En conclusion, le recours interjeté par K.________ doit être admis, la décision entreprise annulée au ch. III de son dispositif et la cause renvoyée à la justice de paix pour désignation d’un nouveau curateur. Le présent arrêt peut être rendu sans frais (art. 74a al. 4 TFJC [Tarif du 28 septembre 2010 des frais judiciaires civils, RSV 270.11.5]).</w:t>
      </w:r>
    </w:p>
    <w:p>
      <w:r>
        <w:t>- 9 - Par ces motifs, la Chambre des curatelles du Tribunal cantonal, statuant à huis clos, prononce : I. Le recours est admis. II. La décision est annulée au ch. III de son dispositif et la cause renvoyée à la Justice de paix du district de l’Ouest lausannois pour désignation d’un nouveau curateur. III. L’arrêt est rendu sans frais. IV. L'arrêt motivé est exécutoire. La présidente : La greffière : Du 26 août 2015 Le dispositif de l'arrêt qui précède est communiqué par écrit aux intéressés. La greffière :</w:t>
      </w:r>
    </w:p>
    <w:p>
      <w:r>
        <w:t>- 10 - Du L'arrêt qui précède, dont la rédaction a été approuvée à huis clos, est notifié à : - K.________, - Me Sébastien Thüler (pour A.J.________),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