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OD13.013702 vom 26. April 2019</w:t>
      </w:r>
    </w:p>
    <w:p>
      <w:r>
        <w:t>VD Tribunal cantonal, 2019-04-26, FR</w:t>
      </w:r>
    </w:p>
    <w:p>
      <w:r>
        <w:rPr>
          <w:b/>
        </w:rPr>
        <w:t xml:space="preserve">Quelle: </w:t>
      </w:r>
      <w:r>
        <w:t>https://mcp.opencaselaw.ch/entscheid/vd_gerichte_OD13.013702</w:t>
      </w:r>
    </w:p>
    <w:p>
      <w:r>
        <w:t>FR: VD_GERICHTE OD13.013702 du 26 avril 2019</w:t>
      </w:r>
    </w:p>
    <w:p>
      <w:r>
        <w:t>IT: VD_GERICHTE OD13.013702 del 26 aprile 2019</w:t>
      </w:r>
    </w:p>
    <w:p>
      <w:pPr>
        <w:pStyle w:val="Heading2"/>
      </w:pPr>
      <w:r>
        <w:t>Erwägungen</w:t>
      </w:r>
    </w:p>
    <w:p>
      <w:r>
        <w:rPr>
          <w:b/>
        </w:rPr>
        <w:t>E. 1</w:t>
      </w:r>
    </w:p>
    <w:p>
      <w:r>
        <w:t>et 393 ch. 2 aCC en faveur de F.________, née le [...] 1922. Cette décision retenait que la prénommée, qui n’avait plus la capacité de veiller à ses intérêts, avait laissé le soin à son fils V.________, avec lequel elle vivait depuis vingt ans et à qui elle avait concédé d’importantes libéralités, de gérer sa fortune et de s’occuper de ses affaires courantes. Dans le but de s’assurer que l’intéressée, dont la situation financière se détériorait,</w:t>
      </w:r>
    </w:p>
    <w:p>
      <w:r>
        <w:t>- 3 - n’était pas victime de quelconques abus, l’autorité tutélaire avait nommé l’avocat [...] comme curateur de F.________, afin qu’il la représente, veille à ses intérêts et investigue sur tous les prélèvements qui avaient été effectués sur ses comptes ces dernières années. Le 1er juin 2012, F.________ a requis l’institution d’une curatelle volontaire en sa faveur. Par décision du 19 mars 2013, la Justice de paix du district de Lausanne (ci-après : justice de paix) a mis fin à l’enquête en interdiction civile, respectivement en institution d’une curatelle ouverte à l’endroit de F.________, a institué en faveur de celle-ci une curatelle de représentation au sens de l’art. 394 al. 1 et 3 CC (Code civil suisse du 10 décembre 1907 ; RS 210) et de gestion avec privation de la faculté d’accéder à certains biens au sens de l’art. 395 CC, a privé l’intéressée de sa faculté d’accéder et de disposer de divers actifs, a désigné Me [...] en qualité de curateur avec pour tâches de représenter F.________ dans les rapports avec les tiers, de veiller à la gestion de ses revenus et de sa fortune, d’administrer les biens avec diligence et accomplir les actes juridiques liés à la gestion et, le cas échéant, de la représenter pour ses besoins ordinaires, a invité le curateur à soumettre les comptes annuellement à la justice de paix avec un rapport sur son activité et sur l’évolution de la situation de F.________, a levé la mesure de curatelle provisoire instaurée le 15 février 2011 en vertu des art. 392 ch. 1 et 393 ch. 2 aCC, a relevé Me [...] de son mandat de curateur provisoire et a privé d’effet suspensif tout recours éventuel. Selon l’inventaire d’entrée établi le 20 décembre 2011 par le curateur [...], le total de l’actif de F.________ était de 415'583 fr. 87.</w:t>
      </w:r>
    </w:p>
    <w:p>
      <w:r>
        <w:rPr>
          <w:b/>
        </w:rPr>
        <w:t>E. 1.1</w:t>
      </w:r>
    </w:p>
    <w:p>
      <w:r>
        <w:t>Le recours est dirigé contre une décision du juge de paix approuvant le compte final de curatelle.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w:t>
      </w:r>
    </w:p>
    <w:p>
      <w:r>
        <w:t>- 6 -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En outre, la Chambre des curatelles n’est pas liée par les conclusions des parties (Meier, Droit de la protection de l’adulte, 2016, n. 216, p. 108 et n. 245, p. 125). Conformément à l’art. 450d CC, la Chambre des curatelles donne à la justice de paix l’occasion de prendre position (al. 1), cette autorité pouvant, au lieu de prendre position, reconsidérer sa décision (al. 2). En l’espèce, l’autorité de protection, a renoncé à reconsidérer sa décision, précisant que la rémunération querellée avait été fixée pro rata temporis sur la base du forfait prévu par le règlement sur la rémunération des curateurs, respectivement sur la liste des opérations produites par Me [...].</w:t>
      </w:r>
    </w:p>
    <w:p>
      <w:r>
        <w:rPr>
          <w:b/>
        </w:rPr>
        <w:t>E. 1.3</w:t>
      </w:r>
    </w:p>
    <w:p>
      <w:r>
        <w:t>Les personnes parties à la procédure, les proches de la personne concernée et les personnes qui ont un intérêt juridique à l'annulation ou à la modification de la décision attaquée ont qualité pour recourir (art. 450 al. 2 CC).</w:t>
      </w:r>
    </w:p>
    <w:p>
      <w:r>
        <w:t>- 7 - La qualité pour recourir du proche présuppose que celui-ci fasse valoir l’intérêt (de fait ou de droit) de la personne protégée et non son intérêt (par exemple patrimonial ou successoral) propre ou l’intérêt de tiers (Meier, op. cit., n. 257, p. 132). Dans le cas d’une succession, le recours doit être interjeté conjointement par tous les héritiers car il y a une communauté de droit de l’objet litigieux tant que la succession est indivise ; les consorts doivent procéder en commun (art. 70 al. 1 CPC), sous peine d’irrecevabilité (Bohnet, CPC annoté, 2016, n. 3 ad art. 70 CPC, p. 169). Ainsi toute remise en cause d’une décision finale ne peut être valablement opérée si les consorts n’agissent pas (séparément ou non) tous en temps utile (Jeandin, Commentaire romand, Code de procédure civile, Bâle 2019, 2e éd., 2019, cité : CR CPC, n. 12 ad art. 270 CPC, p. 266). Cette exigence d’unanimité est édulcorée en ce sens qu’un consort nécessaire peut agir seul afin de remettre en cause une décision de première instance, pour autant que la désignation des parties intimées englobe non seulement les parties adverses en première instance mais aussi les consorts nécessaires n’agissant pas autour du recourant ; ainsi, toutes les parties se retrouvent devant la seconde instance dont l’arrêt déploiera autorité de chose jugée matérielle à l’encontre de chacun des plaideurs concernés, le même principe valant dans le cadre d’un recours en matière civile auprès du Tribunal fédéral. Avant l’entrée en vigueur du CPC, la jurisprudence avait déjà posé le principe selon lequel tout héritier pouvait agir seul pour remettre en cause un jugement de partage successoral indépendamment de ses cohéritiers, à la condition toutefois de tous les attraire devant la juridiction supérieure, sous peine de rejet (Jeandin, CR CPC, op. cit., n. 14a ad art. 70 CPC, p. 266 et les réf. citées ; TF 5A_668/2018 du 24 août 2018, in Revue de la protection des mineurs et des adultes [RMA] 1/2019, p. 30). A teneur de l’art. 70 al. 2 in fine CPC, le principe de consorité devrait aussi s’appliquer lorsque la décision querellée ne porte pas sur un point de droit matériel, par exemple une décision sur les frais, ce qui est critiqué en doctrine puisque ces décisions</w:t>
      </w:r>
    </w:p>
    <w:p>
      <w:r>
        <w:t>- 8 - peuvent ne concerner qu’un seul parmi les consorts (Jeandin, ibid., n. 15 ad art. 70 CPC, p. 267). Dès lors que par proche, l'on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et que l’existence d’un rapport juridique entre les deux personnes n’est pas requise, le lien de fait étant déterminant (Meier, op. cit., n. 255, p. 131),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25 octobre 2016/232 consid. 2.1).</w:t>
      </w:r>
    </w:p>
    <w:p>
      <w:r>
        <w:rPr>
          <w:b/>
        </w:rPr>
        <w:t>E. 1.4</w:t>
      </w:r>
    </w:p>
    <w:p>
      <w:r>
        <w:t>En l’espèce, le recours de V.________ est irrecevable. En effet, en vertu des principes exposés ci-dessus, il n’a pas la qualité de proche dès lors que F.________ est décédée. En sa qualité d’héritier, pour faire valoir son intérêt propre, il aurait fallu qu’il procède en commun avec sa sœur, autre héritière de la succession. Au surplus, à supposer recevable, le recours aurait été de toute façon rejeté pour les motifs développés ci-après.</w:t>
      </w:r>
    </w:p>
    <w:p>
      <w:r>
        <w:rPr>
          <w:b/>
        </w:rPr>
        <w:t>E. 2</w:t>
      </w:r>
    </w:p>
    <w:p>
      <w:r>
        <w:t>F.________ est décédée le [...] 2018 à Morges, laissant comme héritiers légaux réservataires sa fille C.________, née le [...] 1960, et son fils V.________, né le [...] 1961.</w:t>
      </w:r>
    </w:p>
    <w:p>
      <w:r>
        <w:t>- 4 - Selon les dispositions de dernières volontés de la défunte du 1er décembre 2000, homologuées le 30 juillet 2018 par le juge de paix, F.________ a révoqué et annulé toutes les dispositions testamentaires prises antérieurement, en particulier son testament authentique daté du [...] 1989, a institué unique héritier son fils V.________ et a légué à sa fille C.________, pour lui tenir lieu de droit de succession réservataire, une somme de 210'000 francs. Dans sa séance du 7 août 2018, la justice de paix a approuvé le compte 2017 de la personne sous curatelle, établi le 5 juin 2018 par [...] sous le contrôle du curateur, selon lequel le patrimoine net de F.________ s’élevait au 31 décembre 2017 à 314'595 fr. 20, et a alloué à Me [...] une indemnité de 3'360 fr. (« forfait + hon. avocat ») ainsi que le remboursement de ses débours par 400 fr., pour un total de 3'760 francs. Le 8 août 2018, C.________ a formé opposition aux dispositions testamentaires de feu F.________. Par décision du 14 septembre 2018, le juge de paix a ordonné l’administration d’office de la succession de feu F.________, a décidé de ne pas nommer Me [...] comme administrateur officiel de la succession dont le travail, comme curateur de la défunte, avait été systématiquement critiqué par V.________, et a nommé Me [...] en qualité d’administrateur d’office en l’invitant à lui remettre un inventaire des biens de la succession de feu F.________ au jour du décès et à soumettre des comptes annuellement à l’approbation de l’autorité avec un rapport sur son activité. Le 25 novembre 2018, l’Assesseur-surveillant [...] a attesté que, selon le compte final de la personne sous curatelle établi par le curateur le 13 novembre 2018, le montant de la fortune de feu F.________ s’élevait au 22 juillet 2018 à 309'925 fr. 73. Par courrier du 3 décembre 2018, Me [...] a adressé à la justice de paix la liste des opérations de curatelle du 22 janvier au 30 octobre</w:t>
      </w:r>
    </w:p>
    <w:p>
      <w:r>
        <w:t>- 5 - 2018, dans laquelle il indiquait avoir consacré 11 h 10 à son mandat, ce qui donnait, au tarif horaire de 400 fr., un montant facturable de 4'400 francs. En d roit : 1.</w:t>
      </w:r>
    </w:p>
    <w:p>
      <w:r>
        <w:rPr>
          <w:b/>
        </w:rPr>
        <w:t>E. 2.1</w:t>
      </w:r>
    </w:p>
    <w:p>
      <w:r>
        <w:t>Le recourant conteste l’approbation du compte final par le premier juge, lui reprochant de ne pas pouvoir vérifier si le curateur</w:t>
      </w:r>
    </w:p>
    <w:p>
      <w:r>
        <w:t>- 9 - n’aurait pas détourné des fonds et relevant que les comptes de la curatelle n’ont jamais été approuvés par la défunte. Il souligne également que sa propre créance en entretien de sa mère aurait dû être inscrite au passif des comptes de la curatelle.</w:t>
      </w:r>
    </w:p>
    <w:p>
      <w:r>
        <w:rPr>
          <w:b/>
        </w:rPr>
        <w:t>E. 2.2</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L’art. 425 CC, dont le contenu correspond pour l’essentiel aux art. 451 à 453 aCC, prévoit notamment qu’aux termes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Une fois les comptes produits, leur examen se fait par un ou deux membre (s) de l’autorité de protection. Les intéressés vérifient l’exactitude, la légalité et l’opportunité des opérations auxquelles le curateur a procédé (art. 11 al. 1 RAM ;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CommFamm,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 art. 11 al. 1 RAM). L’examen des comptes ne se limite pas à un simple contrôle des pièces comptables, mais implique</w:t>
      </w:r>
    </w:p>
    <w:p>
      <w:r>
        <w:t>- 10 -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 ; art. 11 al. 2 RAM). Sous l’ancien droit, la décision d’approbation des comptes n’avait aucun effet immédiat de droit matériel. Elle n’avait pas pour conséquence la décharge définitive du tuteur ou du curateur, dont la responsabilité selon les art. 425 et 451 aCC n’était pas touchée par l’approbation des comptes (Affolter, Basler Kommentar, Zivilgesetzbuch I, 4e éd., 2010, n. 60 ad art. 451-453 aCC, p. 2261). En d’autres termes, l’action en responsabilité n’était pas tenue en échec par l’approbation des comptes (Deschenaux/Steinauer, Personnes physiques et tutelle, 4e éd., Berne 2001, n. 1078, p. 406 ; Geiser, Basler Kommentar, op. cit., n. 6 ad art. 423a CC, p. 2172). Ce principe continue à prévaloir sous l’empire du nouveau droit de la protection de l’adulte (cf. art. 415 et 454 CC ; CCUR 10 juillet 2013/186 ; Vogel, Basler Kommentar, Zivilgesetzbuch I, 6e éd., 2018, n. 11 ad art. 415 CC, p. 2527 ; Biderbost, op. cit., n. 9 ad art. 415 CC, p. 477). L’approbation des rapports et comptes finaux et la libération du curateur n’ont pas de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intervient au moment de la décision, que celle-ci approuve ou non les comptes finaux (sous réserve d’obligations spécifiques qui lui seraient</w:t>
      </w:r>
    </w:p>
    <w:p>
      <w:r>
        <w:t>- 11 - imposées par cette décision, par exemple la remise de certains biens) (Meier, op. cit., n. 1168, p. 565).</w:t>
      </w:r>
    </w:p>
    <w:p>
      <w:r>
        <w:rPr>
          <w:b/>
        </w:rPr>
        <w:t>E. 2.3</w:t>
      </w:r>
    </w:p>
    <w:p>
      <w:r>
        <w:t>Les allégations du recourant relatives à un éventuel détournement des fonds par le curateur relèvent d’une éventuelle action en responsabilité et ne sauraient justifier un refus d’approbation du compte final. Le fait que le curateur n’ait pas indiqué, au passif des comptes de la défunte, les créances en entretien de son fils est sans conséquence, l’approbation des comptes étant dénuée d’effet matériel sur les éventuelles prétentions de l’intéressé. Partant, les critiques doivent être rejetées.</w:t>
      </w:r>
    </w:p>
    <w:p>
      <w:r>
        <w:rPr>
          <w:b/>
        </w:rPr>
        <w:t>E. 3.1</w:t>
      </w:r>
    </w:p>
    <w:p>
      <w:r>
        <w:t>Le recourant demande à vérifier pourquoi la rémunération du curateur est si élevée, alors que ce dernier a « cherché intentionnellement à tuer sa mère en la privant d’argent ».</w:t>
      </w:r>
    </w:p>
    <w:p>
      <w:r>
        <w:rPr>
          <w:b/>
        </w:rPr>
        <w:t>E. 3.2</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w:t>
      </w:r>
    </w:p>
    <w:p>
      <w:r>
        <w:t>- 12 - rachat, à l’exclusion toutefois des rentes AVS, AI et accidents ou d’autres caisses de même genre ainsi que des prestations d’aide sociale ou rentes complémentaires AVS/AI (art. 3 al. 3 RCur [règlement du 18 décembre 2012 sur la rémunération des curateurs ; BLV 211.255.2]). Selon l’art. 3 al.</w:t>
      </w:r>
    </w:p>
    <w:p>
      <w:r>
        <w:rPr>
          <w:b/>
        </w:rPr>
        <w:t>E. 3.3</w:t>
      </w:r>
    </w:p>
    <w:p>
      <w:r>
        <w:t>En l’espèce, le 3 décembre 2018, le curateur a produit une liste d’opérations pour le travail effectué pour l’année 2018, mentionnant une durée totale de 11 h. 10 au tarif horaire de l’avocat de 400 francs. Le total des opérations facturées ne porte aucunement le flanc à la critique. En revanche, le tarif horaire est excessif et il convient de le réduire à 250 fr. de l’heure. Ainsi, le curateur aurait eu droit à un montant total de 2'765 fr., indemnité soumise à la TVA (CCUR 2 novembre 2018/204). On constate par conséquent que le montant octroyé, de 2'758 fr., n’est nullement excessif, celui-ci ne comptabilisant d’ailleurs pas la TVA.</w:t>
      </w:r>
    </w:p>
    <w:p>
      <w:r>
        <w:rPr>
          <w:b/>
        </w:rPr>
        <w:t>E. 4</w:t>
      </w:r>
    </w:p>
    <w:p>
      <w:r>
        <w:t>RCur, le curateur appelé à fournir des services propres à son activité professionnelle a droit, en principe, à une rémunération fixée sur la base du tarif en usage dans sa profession ; lorsque le curateur effectue également des opérations sans lien avec son activité professionnelle, celles-ci justifient une indemnité distincte fixée par application analogique de l’art. 3 al. 3 RCur. S’agissant des débours, ils font l’objet d’une liste de frais détaillés que le curateur présente à l’autorité compétente en même temps que son rapport annuel ; une justification sommaire suffit lorsqu’ils ne dépassent pas 200 fr. par an (art. 2 al. 3 RCur).</w:t>
      </w:r>
    </w:p>
    <w:p>
      <w:r>
        <w:rPr>
          <w:b/>
        </w:rPr>
        <w:t>E. 4.1</w:t>
      </w:r>
    </w:p>
    <w:p>
      <w:r>
        <w:t>En conclusion, le recours est irrecevable.</w:t>
      </w:r>
    </w:p>
    <w:p>
      <w:r>
        <w:rPr>
          <w:b/>
        </w:rPr>
        <w:t>E. 4.2</w:t>
      </w:r>
    </w:p>
    <w:p>
      <w:r>
        <w:t>Vu l’issue du recours, les frais judiciaires de deuxième instance, arrêtés à 300 fr. (art. 74a al. 1 TFJC [tarif du 28 septembre 2010 des frais judiciaires civils ; RSV 270.11.5]), sont mis à la charge du recourant.</w:t>
      </w:r>
    </w:p>
    <w:p>
      <w:r>
        <w:t>- 13 - Par ces motifs, la Chambre des curatelles du Tribunal cantonal, statuant à huis clos, prononce : I. Le recours est irrecevable. II. Les frais judiciaires de deuxième instance, arrêtés à 300 fr. (trois cents francs), sont mis à la charge de V.________. III. L'arrêt est exécutoire. Le président : Le greffier : Du L'arrêt qui précède, dont la rédaction a été approuvée à huis clos, est notifié à : - M. V.________, - Me [...], et communiqué à : - M. le Juge de paix du district de Lausanne, par l'envoi de photocopies.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