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OC23.024252 vom 18. März 2024</w:t>
      </w:r>
    </w:p>
    <w:p>
      <w:r>
        <w:t>VD Tribunal cantonal, 2024-03-18, FR</w:t>
      </w:r>
    </w:p>
    <w:p>
      <w:r>
        <w:rPr>
          <w:b/>
        </w:rPr>
        <w:t xml:space="preserve">Quelle: </w:t>
      </w:r>
      <w:r>
        <w:t>https://mcp.opencaselaw.ch/entscheid/vd_gerichte_OC23.024252</w:t>
      </w:r>
    </w:p>
    <w:p>
      <w:r>
        <w:t>FR: VD_GERICHTE OC23.024252 du 18 mars 2024</w:t>
      </w:r>
    </w:p>
    <w:p>
      <w:r>
        <w:t>IT: VD_GERICHTE OC23.024252 del 18 marzo 2024</w:t>
      </w:r>
    </w:p>
    <w:p>
      <w:pPr>
        <w:pStyle w:val="Heading2"/>
      </w:pPr>
      <w:r>
        <w:t>Erwägungen</w:t>
      </w:r>
    </w:p>
    <w:p>
      <w:r>
        <w:rPr>
          <w:b/>
        </w:rPr>
        <w:t>E. 1</w:t>
      </w:r>
    </w:p>
    <w:p>
      <w:r>
        <w:t>Le 27 septembre 2022, les Drs [...], [...] et [...], respectivement, chef de clinique adjoint, médecin adjoint et médecin assistant à l’Unité de traitement des addictions de Montreux (UTAM), ont signalé la situation de S.________ à la justice de paix. Ils ont relevé que l’intéressé était connu pour une dépendance aux substances multiples, essentiellement l’alcool et les benzodiazépines, et que, depuis 2019, il avait été hospitalisé, à tout le moins, à dix-huit reprises en milieu stationnaire psychiatrique ou somatique, en sus de multiples consultations aux urgences dans ce même contexte de dépendance. En particulier, en avril 2022, le recourant, alors hospitalisé, avait été retrouvé inconscient sur la voie publique en proie à des convulsions en raison d’une crise toxico-clonique sur sevrage à l’alcool et aux benzodiazépines. Un suivi neurologique lui avait été proposé, mais l’intéressé ne s’était jamais présenté aux rendez-vous ambulatoires. Les médecins ont encore exposé que le recourant était seul socialement, sa famille habitant aux Etats-Unis et au Mexique, qu’il bénéficiait d’un suivi ambulatoire à l’UTAM, mais se présentait régulièrement en état d’ivresse et qu’il souffrait de déficits cognitifs importants, en lien avec un syndrome dysexécutif et de troubles mnésiques au premier plan. Ils ont également souligné que S.________ parvenait, en milieu hospitalier, à maintenir une abstinence d’une à deux semaines, puis rechutait dans une consommation importante et demandait sa sortie abrupte, mettant en échec le projet thérapeutique qui lui était à chaque fois proposé. Il avait également refusé de s’inscrire dans un projet de postcure dans une institution spécialisée. Les thérapeutes ont ajouté que le recourant n’avait pas de conscience morbide et ont préconisé un placement à des fins d’assistance dans le souci de le protéger tant sur un plan psychique que physique, son pronostic vital étant réservé.</w:t>
      </w:r>
    </w:p>
    <w:p>
      <w:r>
        <w:t>- 4 -</w:t>
      </w:r>
    </w:p>
    <w:p>
      <w:r>
        <w:rPr>
          <w:b/>
        </w:rPr>
        <w:t>E. 1.1</w:t>
      </w:r>
    </w:p>
    <w:p>
      <w:r>
        <w:t>Le recours est dirigé contre une décision de la justice de paix maintenant, dans le cadre de l’examen périodique (art. 426 et 431 CC) et pour une durée indéterminée, le placement à des fins d’assistance prononcé en faveur de la personne concernée.</w:t>
      </w:r>
    </w:p>
    <w:p>
      <w:r>
        <w:rPr>
          <w:b/>
        </w:rPr>
        <w:t>E. 1.2</w:t>
      </w:r>
    </w:p>
    <w:p>
      <w:r>
        <w:t>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445 al. 3 et 450b al. 2 CC). Le recours doit être interjeté par écrit, mais il n’a pas besoin d’être motivé (art. 450 al. 3 CC et 450e al. 1 CC). Il suffit que le recourant manifeste par écrit son désaccord avec la mesure prise (Droit de la protection de l'adulte, Guide pratique</w:t>
      </w:r>
    </w:p>
    <w:p>
      <w:r>
        <w:t>- 7 - COPMA, Zurich/Saint-Gall 2012 [ci-après : Guide pratique COPMA 2012], nn. 12.18 et 12.19, p. 285 ; Meier, Droit de la protection de l’adulte, 2e éd., Zurich 2022, n. 276, p. 154). Les personnes parties à la procédure, les proches de la personne concernée et les personnes qui ont un intérêt juridique à l'annulation ou à la modification de la décision attaquée ont qualité pour recourir (art. 450 al. 2 CC).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la personne concernée et exposant clairement son désaccord avec le maintien de la mesure de placement, le recours est recevable. Au vu du caractère manifestement mal fondé du recours et des considérants qui suivent, la justice de paix et le curateur n’ont pas été invités à prendre position, respectivement à se déterminer.</w:t>
      </w:r>
    </w:p>
    <w:p>
      <w:r>
        <w:rPr>
          <w:b/>
        </w:rPr>
        <w:t>E. 2</w:t>
      </w:r>
    </w:p>
    <w:p>
      <w:r>
        <w:t>Le 31 mars 2023, la Dre [...] et le Dr [...], respectivement cheffe de clinique adjointe et médecin adjoint à la Fondation de Nant, ont déposé un rapport d’expertise concernant S.________. Les experts ont exposé que le recourant était le père d’une adolescente de quinze ans vivant au Mexique, qu’il était diplômé dans le marketing, qu’il ne travaillait plus depuis dix ans et qu’il avait bénéficié d’une année dans un appartement protégé avant d’être renvoyé en raison de ses consommations d’alcool interdites par l’institution. Les experts ont encore indiqué que le recourant avait un discours circonvulatoire focalisé sur l’amélioration de son état psychique et physique ressenti, sur son passé et sur le fait qu’il était « différent ». Dans la partie « diagnostic », les experts ont retenu que le recourant souffrait de troubles mentaux et du comportement liés à l’utilisation de l’alcool (syndrome de dépendance), de troubles mentaux et du comportement liés à l’utilisation de sédatifs ou d’hypnotiques (syndrome de dépendance), d’un trouble cognitif léger, d’un trouble mixte de la personnalité ainsi que d’autres troubles de la personnalité. Ils ont néanmoins précisé que l’atteinte cognitive du recourant n’avait pas pu être investiguée à satisfaction, celui-ci n’ayant pas pu respecter un délai suffisant d’abstinence à l’alcool pour que les résultats d’une éventuelle évaluation neuropsychologique puissent être concluants. Les experts ont également retenu que le recourant pouvait représenter un danger pour lui-même, qu’il avait besoin d’être soutenu au quotidien et qu’en l’absence d’une prise en charge adéquate, il pourrait rechuter dans ses consommations. Ils ont précisé à ce sujet que le risque de mise en danger par des consommations problématiques était réel de même qu’une aggravation subséquente du fléchissement cognitif. Les experts ont également indiqué qu’une prise en charge ambulatoire s’avérait insuffisante par rapport aux besoins du recourant, qu’il ne présentait qu’une conscience morbide très partielle, qu’il banalisait la nécessité de soins sur le moyen et long terme et que l’assistance dont il avait besoin devait idéalement être prodiguée dans un établissement spécialisé dans les dépendances, sans nécessité qu’il soit fermé.</w:t>
      </w:r>
    </w:p>
    <w:p>
      <w:r>
        <w:rPr>
          <w:b/>
        </w:rPr>
        <w:t>E. 2.1.1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- 8 -</w:t>
      </w:r>
    </w:p>
    <w:p>
      <w:r>
        <w:rPr>
          <w:b/>
        </w:rPr>
        <w:t>E. 2.1.2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[ci-après : Basler Kommentar],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w:t>
      </w:r>
    </w:p>
    <w:p>
      <w:r>
        <w:rPr>
          <w:b/>
        </w:rPr>
        <w:t>E. 2.2.1</w:t>
      </w:r>
    </w:p>
    <w:p>
      <w:r>
        <w:t>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2.2.2</w:t>
      </w:r>
    </w:p>
    <w:p>
      <w:r>
        <w:t>En cas de troubles psychiques, la décision relative à un placement à des fins d'assistance, doit être prise sur la base d'un rapport d'expertise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w:t>
      </w:r>
    </w:p>
    <w:p>
      <w:r>
        <w:t>- 9 - demande de libération présentée par la personne en institution, dès lors que le concours d'un expert est requis pour toute décision de placement, de maintien ou de levée de celui-ci (ATF 140 III 105 consid. 2.6, JdT 2015 II 75).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notamment se prononcer sur l'état de santé de la personne concernée (ATF 148 I 1 consid. 8.2.1 ; 140 III 101 consid. 6.2.2 ;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 Geiser, Basler Kommentar, op. cit., n. 18 ad art. 450e CC, p. 2968 ; Guide pratique COPMA 2012, op. cit., n. 12.21, p. 286). Il doit être indépendant et ne pas s'être déjà prononcé sur la maladie de la personne concernée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Si l’autorité de protection a déjà demandé une expertise indépendante, l’instance judiciaire de recours peut se fonder sur celle-ci (ATF 139 III 257 consid. 4.3 in fine et la référence citée).</w:t>
      </w:r>
    </w:p>
    <w:p>
      <w:r>
        <w:rPr>
          <w:b/>
        </w:rPr>
        <w:t>E. 2.3</w:t>
      </w:r>
    </w:p>
    <w:p>
      <w:r>
        <w:t>En l’espèce le recourant a été entendu par la Chambre des curatelles réunie en collège le 18 mars 2024. Son droit d’être entendu a été respecté. Par ailleurs, la décision entreprise se fonde sur l’expertise du 31 mars 2023 de la Fondation de Nant ainsi que sur un récent rapport</w:t>
      </w:r>
    </w:p>
    <w:p>
      <w:r>
        <w:t>- 10 - médical établi le 25 janvier 2024 par le Dr [...] et la Dre [...] de l’UTAM. Ces rapports fournissent des éléments actuels et pertinents sur la situation de la personne concernée et les risques encourus en cas de levée de la mesure ; ils sont ainsi conformes aux exigences requises et permettent à la Chambre de céans de se prononcer sur la légitimité du placement ordonné. La décision litigieuse est donc formellement correcte et peut être examinée sur le fond. 3.</w:t>
      </w:r>
    </w:p>
    <w:p>
      <w:r>
        <w:rPr>
          <w:b/>
        </w:rPr>
        <w:t>E. 3</w:t>
      </w:r>
    </w:p>
    <w:p>
      <w:r>
        <w:t>Par décision du 1er juin 2023, la justice de paix a notamment mis fin à l’enquête en placement à des fins d’assistance et en institution</w:t>
      </w:r>
    </w:p>
    <w:p>
      <w:r>
        <w:t>- 5 - de curatelle ouverte en faveur de S.________, a ordonné son placement à des fins d’assistance dans un établissement correspondant à ses besoins et a institué, en sa faveur, une curatelle de représentation et de gestion au sens des art. 394 al. 1 et 395 al. 1 CC (Code civil suisse du 10 décembre 1907 ; RS 210).</w:t>
      </w:r>
    </w:p>
    <w:p>
      <w:r>
        <w:rPr>
          <w:b/>
        </w:rPr>
        <w:t>E. 3.1</w:t>
      </w:r>
    </w:p>
    <w:p>
      <w:r>
        <w:t>Le recourant conteste son placement à des fins d’assistance faisant valoir qu’une intégration volontaire à l’EPSM [...] aurait des effets bien plus bénéfiques sur sa prise en charge qu’un placement légal. Il se prévaut également des résultats de ses alcotests du mois de février 2024 et de sa capacité d’autonomie dans les tâches du quotidien. A l’audience de la Chambre des curatelles du 18 mars 2024, il a confirmé ces griefs.</w:t>
      </w:r>
    </w:p>
    <w:p>
      <w:r>
        <w:rPr>
          <w:b/>
        </w:rPr>
        <w:t>E. 3.2.1</w:t>
      </w:r>
    </w:p>
    <w:p>
      <w:r>
        <w:t>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(TF 5A_374/2018 du 25 juin 2018 consid. 4.2.1 et la référence citée ; Meier, op. cit., n. 1189, p. 631).</w:t>
      </w:r>
    </w:p>
    <w:p>
      <w:r>
        <w:t>- 11 -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w:t>
      </w:r>
    </w:p>
    <w:p>
      <w:r>
        <w:t>- 12 -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5A_634/2016 du 21 septembre 2016 consid. 2.3) ou que son bien-être nécessite un traitement stationnaire, qui ne peut être couronné de succès que s'il est assuré sans interruption (TF 5A_374/2018 du 25 juin 2018 consid. 4.2.1). Selon l’art. 29 al. 1 LVPAE, lorsqu'une cause de placement à des fins d'assistance existe, mais que les soins requis par l'intéressé peuvent encore être pratiqués sous forme ambulatoire, le médecin autorisé selon l'article 9 LVPAE ou l'autorité de protection peut prescrire un tel traitement ambulatoire et les modalités de contrôle de son suivi.</w:t>
      </w:r>
    </w:p>
    <w:p>
      <w:r>
        <w:rPr>
          <w:b/>
        </w:rPr>
        <w:t>E. 3.2.2</w:t>
      </w:r>
    </w:p>
    <w:p>
      <w:r>
        <w:t>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w:t>
      </w:r>
    </w:p>
    <w:p>
      <w:r>
        <w:t>- 13 -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w:t>
      </w:r>
    </w:p>
    <w:p>
      <w:r>
        <w:rPr>
          <w:b/>
        </w:rPr>
        <w:t>E. 3.2.3</w:t>
      </w:r>
    </w:p>
    <w:p>
      <w:r>
        <w:t>L’autorité de protection de l’adulte examine si les conditions du maintien de la mesure sont encore remplies et si l’institution est toujours appropriée dans les six mois qui suivent le placement (art. 431 al. 1 CC). Elle effectue un deuxième examen au cours des six mois qui suivent. Par la suite, elle effectue l’examen aussi souvent que nécessaire, mais au moins une fois par an (art. 431 al. 2 CC).</w:t>
      </w:r>
    </w:p>
    <w:p>
      <w:r>
        <w:rPr>
          <w:b/>
        </w:rPr>
        <w:t>E. 3.3</w:t>
      </w:r>
    </w:p>
    <w:p>
      <w:r>
        <w:t>En l’espèce, sur le plan anamnestique, le recourant, d’origine mexicaine, vit seul en Suisse, toute sa famille proche, dont sa fille, vivant au Mexique ou aux Etats-Unis. Bien qu’ayant une formation en marketing, il ne travaille plus depuis une dizaine d’années. Il dispose encore d’un appartement à [...], qu’il a habité après avoir passé une année dans un appartement protégé duquel il a été renvoyé en raison de ses consommations d’alcool. Le recourant souffre notamment d’un syndrome de dépendance à l’alcool et aux benzodiazépines ainsi que de troubles mentaux liés à ses dépendances. A cela s’ajoute des déficits cognitifs importants en lien avec un syndrome dysexécutif et des troubles mnésiques en premier plan. Alertés par les nombreuses mises en dangers et hospitalisations du recourant, les Drs [...], [...] et [...], alors investis dans sa prise en charge à l’UTAM, ont signalé la situation de ce dernier à la justice de paix le 27 septembre 2022. Ils ont en particulier relevé qu’en avril 2022, le recourant, bien qu’hospitalisé, s’était retrouvé inconscient sur la voie publique en proie à des convulsions et transporté d’urgence à l’hôpital. Ils ont encore exposé que l’intéressé se présentait ivre à</w:t>
      </w:r>
    </w:p>
    <w:p>
      <w:r>
        <w:t>- 14 - quasiment tous les rendez-vous auprès de l’UTAM et avait refusé de s’investir dans un suivi neurologique pourtant préconisé après l’incident sur la voie publique. Les multiples rechutes du recourant, y compris avec des suivis ambulatoires, ont mis en évidence la nécessité d’un cadre très contenant. En lien avec la présence de ses troubles, les experts ont retenu qu’il présentait un danger pour lui-même et qu’une prise en charge ambulatoire était insuffisante. Le recourant n’a qu’une conscience morbide très partielle de ses troubles et banalise la nécessité de soin sur le long terme. Il adopte un discours circonvolutoire, déjà constaté à l’expertise, ce dernier tenant à préciser qu’il est « différent » et soulignant que ses problèmes d’alcool relèvent du passé et qu’il peut se gérer de façon autonome en appartement. Son discours, qu’il a maintenu à l’audience de la Chambre des curatelles, démontre qu’il n’a pas conscience de la gravité de sa situation et qu’il est dans le déni. Par ailleurs, malgré une récente amélioration, l’évolution du recourant au sein de l’EPSM [...] n’a pas été optimale. En effet, il a fait plusieurs rechutes au point qu’une hospitalisation pour sevrage a été demandée au CHUV en octobre 2023. Dans ces circonstances, une prise en charge institutionnelle apparaît encore indispensable pour éviter toute mise en danger du recourant. Son discours non-oppositionnel est peu convaincant et laisse bien plutôt craindre qu’il souhaite éviter un cadre légal et se laisser l’opportunité de quitter l’établissement, comme par le passé, pour rejoindre son appartement. Ainsi, il y a lieu de craindre une reprise de consommation massive d’alcool, ce qui le mettra inévitablement en danger. Partant, le recours doit être rejeté et le maintien du placement à des fins d’assistance, pour une durée indéterminée, de S.________ confirmé. En l’état, l’EPSM [...] apparait comme un établissement approprié pour le recourant. Dans la mesure où sa situation ne s’est pas améliorée sur le long terme, l’EPSM [...] semble ne pas proposer un cadre</w:t>
      </w:r>
    </w:p>
    <w:p>
      <w:r>
        <w:t>- 15 - suffisamment contenant. Désormais, il semble que la prise en charge du recourant n’amène pas de problèmes particuliers, de sorte qu’un transfert vers un établissement à bas seuil se révèle inopportun et contraire à ses intérêts. 4. En conclusion, le recours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w:t>
      </w:r>
    </w:p>
    <w:p>
      <w:r>
        <w:t>- 16 - L'arrêt qui précède, dont la rédaction a été approuvée à huis clos, est notifié à : - S.________, - N.________, curateur, SCTP, et communiqué à : - M. le Juge de paix du district de la Riviera – Pays-d’Enhaut, - [...], direction médicale,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5 juillet 2023, S.________ a intégré l’EPSM [...], à [...].</w:t>
      </w:r>
    </w:p>
    <w:p>
      <w:r>
        <w:rPr>
          <w:b/>
        </w:rPr>
        <w:t>E. 5</w:t>
      </w:r>
    </w:p>
    <w:p>
      <w:r>
        <w:t>Dans leur courrier du [...] 2024, [...] et N.________, respectivement cheffe de groupe auprès du Service des curatelles et tutelles professionnelles (SCTP) et curateur de S.________, ont exposé que ce dernier continuait fréquemment à se mettre en danger et oscillait entre des phases de sevrages et des phases de consommations quotidiennes massives d’alcool. Ils ont relevé que le recourant avait présenté des difficultés durant les six premiers mois de son placement à des fins d’assistance et que ses troubles cognitifs continuaient à se dégrader. Ils ont estimé qu’un placement institutionnel était toujours nécessaire et qu’un retour à domicile n’était pas encore en projet.</w:t>
      </w:r>
    </w:p>
    <w:p>
      <w:r>
        <w:rPr>
          <w:b/>
        </w:rPr>
        <w:t>E. 6</w:t>
      </w:r>
    </w:p>
    <w:p>
      <w:r>
        <w:t>Dans leur rapport du 25 janvier 2024, le Dr [...] et la Dre [...], respectivement chef de clinique adjoint et médecin assistante à l’UTAM, ont exposé que, depuis son intégration à l’EPSM [...], une péjoration de l’état psychique de S.________ avait été observée ainsi qu’une récente rechute dans la consommation d’alcool. L’infirmière référente du foyer avait rapporté de grandes difficultés dans la prise en charge du recourant et avait indiqué que ce lieu de vie n’était plus adapté. Ils ont également relevé qu’une demande de transfert à l’EPSM [...] avait été faite en vue d’un sevrage du recourant et que ce dernier était toujours opposé à une prise en charge institutionnelle.</w:t>
      </w:r>
    </w:p>
    <w:p>
      <w:r>
        <w:rPr>
          <w:b/>
        </w:rPr>
        <w:t>E. 7</w:t>
      </w:r>
    </w:p>
    <w:p>
      <w:r>
        <w:t>A l’audience de la Chambre des curatelles du 18 mars 2024, S.________ a déclaré qu’il était satisfait de sa prise en charge, mais qu’il ne souhaitait pas que celle-ci lui soit imposée, estimant qu’il « s’en sortirait mieux » s’il pouvait « faire les choses par lui-même ». Il a ajouté qu’il se sentait mieux, qu’il dormait mieux et que ses envies de boire avaient</w:t>
      </w:r>
    </w:p>
    <w:p>
      <w:r>
        <w:t>- 6 - diminué. Il a encore indiqué qu’il avait un bon contact avec sa psychiatre qu’il voyait une à deux fois par mois et que sa nouvelle médication lui convenait. Il a ajouté qu’il avait commencé à boire en raison de la perte d’un enfant et qu’il était capable de vivre de manière autonome. N.________ a déclaré que le bail de l’appartement du recourant n’avait pas encore été résilié, que les intervenants de l’EPSM [...] rencontraient désormais moins de difficultés avec l’intéressé et que la question de le transférer à l’EPSM [...], soit un établissement à bas seuil, devrait être réévaluée en raison de l’amélioration dans la prise en charge de la personne concernée.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