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OC21.014476 vom 1. November 2021</w:t>
      </w:r>
    </w:p>
    <w:p>
      <w:r>
        <w:t>VD Tribunal cantonal, 2021-11-01, FR</w:t>
      </w:r>
    </w:p>
    <w:p>
      <w:r>
        <w:rPr>
          <w:b/>
        </w:rPr>
        <w:t xml:space="preserve">Quelle: </w:t>
      </w:r>
      <w:r>
        <w:t>https://mcp.opencaselaw.ch/entscheid/vd_gerichte_OC21.014476</w:t>
      </w:r>
    </w:p>
    <w:p>
      <w:r>
        <w:t>FR: VD_GERICHTE OC21.014476 du 1 novembre 2021</w:t>
      </w:r>
    </w:p>
    <w:p>
      <w:r>
        <w:t>IT: VD_GERICHTE OC21.014476 del 1 novembre 2021</w:t>
      </w:r>
    </w:p>
    <w:p>
      <w:pPr>
        <w:pStyle w:val="Heading2"/>
      </w:pPr>
      <w:r>
        <w:t>Erwägungen</w:t>
      </w:r>
    </w:p>
    <w:p>
      <w:r>
        <w:rPr>
          <w:b/>
        </w:rPr>
        <w:t>E. 1</w:t>
      </w:r>
    </w:p>
    <w:p>
      <w:r>
        <w:t>Par décision du 21 septembre 2021, le Juge de paix du district de la Riviera – Pays-d’Enhaut a rejeté la requête de consentement déposée le 3 septembre 2021 par R.________ tendant à l’investissement du patrimoine de sa mère, B.________, à hauteur de 650'000 fr., dans la plateforme [...].</w:t>
      </w:r>
    </w:p>
    <w:p>
      <w:r>
        <w:rPr>
          <w:b/>
        </w:rPr>
        <w:t>E. 2</w:t>
      </w:r>
    </w:p>
    <w:p>
      <w:r>
        <w:t>Par acte du 10 octobre 2021, remis à la Poste le 11 octobre 2021, R.________ a recouru contre cette décision en ces termes : « (…) Suite à votre courrier du 4 octobre 2021 qui a retenu toute mon attention, je vous confirme recourir contre votre décision du 21 septembre dernier, les enjeux étant trop importants pour notre maman, ma sœur et moi (…). ».</w:t>
      </w:r>
    </w:p>
    <w:p>
      <w:r>
        <w:rPr>
          <w:b/>
        </w:rPr>
        <w:t>E. 3.1</w:t>
      </w:r>
    </w:p>
    <w:p>
      <w:r>
        <w:t>Le recours est dirigé contre une décision du juge de paix refusant de consentir à un placement financier.</w:t>
      </w:r>
    </w:p>
    <w:p>
      <w:r>
        <w:rPr>
          <w:b/>
        </w:rPr>
        <w:t>E. 3.2.1</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3.2.2</w:t>
      </w:r>
    </w:p>
    <w:p>
      <w:r>
        <w:t>Sous peine d’irrecevabilité, le recours doit être dûment motivé et interjeté par écrit (art. 450 al. 3 CC), les exigences de motivation ne</w:t>
      </w:r>
    </w:p>
    <w:p>
      <w:r>
        <w:t>- 3 - devant cependant pas être trop élevées (TF 5A_922/2015 du 4 février 2016 consid. 5.1).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(Jeandin, Commentaire romand, Code de procédure civile, Bâle 2019, 2e éd. [ci-après : CR-CPC], n. 3a ad art. 311 CPC [Code de procédure civile du 19 décembre 2008 ; RS 272], applicable par renvoi de l’art. 450f CC, p. 1510). Le recours doit en outre contenir, sous peine d'irrecevabilité également, des conclusions au fond pour permettre, le cas échéant, à l'autorité supérieure de statuer à nouveau, ce principe valant également lorsque la procédure est gouvernée par la maxime d’office (Jeandin, CR- CPC, op. cit., n. 4 ad art. 311 CPC, applicable par renvoi de l’art. 450f CC, p. 1511).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purement formel et affectant le recours de manière irréparable (Jeandin, CR-CPC, op. cit., n.</w:t>
      </w:r>
    </w:p>
    <w:p>
      <w:r>
        <w:rPr>
          <w:b/>
        </w:rPr>
        <w:t>E. 3.3</w:t>
      </w:r>
    </w:p>
    <w:p>
      <w:r>
        <w:t>En l’espèce, le recours a été interjeté en temps utile par un proche de B.________, soit son fils, qui est également son curateur. Si la volonté de R.________ de recourir contre la décision du 21 septembre 2021 ressort de son acte du 10 octobre 2021, force est toutefois de constater que celui-ci ne contient pas de conclusions ni de griefs proprement dits. En effet, le recourant se contente d’exposer que la décision litigieuse aurait des impacts importants pour lui, sa mère et sa sœur, sans indiquer en quoi ou pour quels motifs elle devrait être modifiée.</w:t>
      </w:r>
    </w:p>
    <w:p>
      <w:r>
        <w:t>- 4 - Partant, le recours déposé par R.________ ne satisfait pas aux exigences de motivation rappelées ci-dessus et doit donc être déclaré irrecevable, aucun délai supplémentaire ne pouvant être fixé pour rectifier l’acte. 4. En conclusion, le recours deR.________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vice-présidente : La greffière : Du L'arrêt qui précède, dont la rédaction a été approuvée à huis clos, est notifié à : - M. R.________,</w:t>
      </w:r>
    </w:p>
    <w:p>
      <w:r>
        <w:t>- 5 -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ad art. 311 CPC, applicable par renvoi de l’art. 450f CC, p. 1512 ; CCUR 23 juillet 2021/167).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