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OC20.037572 vom 15. April 2021</w:t>
      </w:r>
    </w:p>
    <w:p>
      <w:r>
        <w:t>VD Tribunal cantonal, 2021-04-15, FR</w:t>
      </w:r>
    </w:p>
    <w:p>
      <w:r>
        <w:rPr>
          <w:b/>
        </w:rPr>
        <w:t xml:space="preserve">Quelle: </w:t>
      </w:r>
      <w:r>
        <w:t>https://mcp.opencaselaw.ch/entscheid/vd_gerichte_OC20.037572</w:t>
      </w:r>
    </w:p>
    <w:p>
      <w:r>
        <w:t>FR: VD_GERICHTE OC20.037572 du 15 avril 2021</w:t>
      </w:r>
    </w:p>
    <w:p>
      <w:r>
        <w:t>IT: VD_GERICHTE OC20.037572 del 15 aprile 2021</w:t>
      </w:r>
    </w:p>
    <w:p>
      <w:pPr>
        <w:pStyle w:val="Heading2"/>
      </w:pPr>
      <w:r>
        <w:t>Erwägungen</w:t>
      </w:r>
    </w:p>
    <w:p>
      <w:r>
        <w:rPr>
          <w:b/>
        </w:rPr>
        <w:t>E. 1</w:t>
      </w:r>
    </w:p>
    <w:p>
      <w:r>
        <w:t>K.________, née le [...] 1934, ressortissante espagnole, est veuve. Elle est mère de trois enfants : B.________ domicilié à La Tour-de- Peilz (ci-après : le recourant), W.________, domiciliée à Villeneuve, et [...], demeurant à Madrid.</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notamment ont qualité pour recourir (art. 450 al. 2 CC). Le recours doit être dûment motivé et interjeté par écrit (art. 450 al. 3 CC), les exigences de motivation ne devant cependant pas être trop élevées (TF 5A_922/2015 du 4 février 2016 consid. 5.1 ; Droese/Steck, Basler Kommentar, Zivilgesetzbuch I,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voir également TF 5C_1/2018 du 8 mars 2019 consid. 5.1 et les réf. cit.). En matière de protection de l'adulte et de l'enfant, la maxime inquisitoire illimitée est applicable, de sorte que les restrictions posées par l'art. 317 CPC pour l'introduction de faits ou moyens de preuve nouveaux sont inapplicables (JdT 2011 Ill 43 ; CCUR 16 avril 2020/74). La Chambre des curatelles doit procéder à un examen complet de la décision attaquée, en fait, en droit et en opportunité (art. 450a CC),</w:t>
      </w:r>
    </w:p>
    <w:p>
      <w:r>
        <w:t>- 10 -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 l’art. 20 LVPAE).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la personne concernée et son fils curateur, le présent recours est recevable en tant qu’il est dirigé contre la décision de la justice de paix du 17 novembre 2020 relevant et libérant le recourant de son mandat de curateur privé de sa mère et nommant en cette qualité une personne extérieure à la famille. En revanche, le recours concernant la mesure de curatelle instituée le 15 septembre 2020, laquelle n’a alors pas été contestée et dont la levée fait l’objet d’une demande auprès de l’autorité de protection, est irrecevable, le dispositif de la décision querellée ne portant que sur le changement de curateur. Le recours étant manifestement mal fondé, au vu des considérations qui seront développées ci-après, il a été renoncé à interpellé l’autorité de protection. 2.</w:t>
      </w:r>
    </w:p>
    <w:p>
      <w:r>
        <w:rPr>
          <w:b/>
        </w:rPr>
        <w:t>E. 2</w:t>
      </w:r>
    </w:p>
    <w:p>
      <w:r>
        <w:t>Le 1er avril 2020, la Dre C.________, cheffe de clinique adjointe auprès du Service de psychiatrie et psychothérapie de la personne âgée de la [...], a ordonné le placement à des fins d’assistance d’K.________, qui souffrait d’un trouble délirant persistant. Le 3 avril 2020, le Dr P.________, médecin généraliste à Territet, a signalé la situation d’K.________ qu’il suivait régulièrement depuis plus de douze ans. Il a exposé qu’alors qu’elle était résidente volontaire en appartement protégé depuis quatre ans au sein de la Résidence [...], K.________ avait été transférée avant les mesures de confinement du printemps 2020 à l’EMS [...] pour une décompensation de ses idées délirantes et interprétatives. Lors de la visite qu’il lui avait rendue à sa demande le 25 mars 2020, il avait constaté que sa patiente exprimait de manière constante son envie de regagner son appartement protégé, mais minimisait, voire réfutait ses symptômes et ses difficultés connus de longue date et aggravés par les troubles neuropsychologiques qu’elle présentait depuis environ deux ans. Estimant qu’elle se trouvait dans une situation de fragilité et de vulnérabilité la rendant particulièrement influençable, le Dr P.________ confirmait qu’K.________ ne disposait plus, ou pas actuellement, de sa capacité de discernement. Il ajoutait qu’en douze années de relations de confiance et étroites, il avait régulièrement été en contact avec W.________ et le fils de sa patiente vivant à Madrid, mais qu’il n’avait jamais eu de contact avec B.________ malgré plusieurs tentatives lors de moments difficiles vécus par sa mère.</w:t>
      </w:r>
    </w:p>
    <w:p>
      <w:r>
        <w:t>- 4 - Par courrier du 11 mai 2020, la Juge de paix du district de la Riviera – Pays-d’Enhaut (ci-après : juge de paix) a requis du CMS (Centre médico-social) de Montreux-Clarens qu’il la renseigne sur la situation financière d’K.________ et lui indique si la question d’une curatelle avait été discutée avec elle, le cas échéant, quel était son point de vue, si les enfants étaient un soutien pour leur mère, s’ils étaient favorables à l’institution d’une curatelle en faveur de celle-ci et si l’un d’entre eux souhaitait être désigné curateur. Elle invitait par ailleurs la Dre C.________ à lui faire savoir si K.________ était en mesure de se déterminer sur l’institution d’une curatelle en sa faveur. Par courrier du 25 mai 2020, [...], assistante sociale auprès du CMS de Clarens, a transmis à la justice de paix une demande de curatelle du 14 mai 2020 concernant K.________, indiquant que la prénommée présentait des troubles psychiatriques et cognitifs, pouvait être angoissée et se sentir persécutée, disait régulièrement que ses voisins entraient chez elle et avait appelé la police à plusieurs reprises. Selon la signalante X.________, K.________ avait emménagé en novembre 2016 dans les appartements protégés de la Fondation [...], mangeait trois fois par semaine à l’EMS (Etablissement médico-social) de la fondation et bénéficiait de l’aide du CMS de Clarens depuis janvier 2017 pour ses lessives et depuis août 2017 pour la gestion administrative et les paiements ; son état de santé nécessitait depuis septembre 2017 la visite hebdomadaire d’une infirmière en santé mentale et, dès octobre 2018, deux passages par semaine pour les médicaments. L’intéressée avait séjourné en court-séjour à l’EMS [...] du 2 mars au 15 mai 2020, au cours duquel un placement à des fins d’assistance avait été ordonné par la Dre C.________, était angoissée par le paiement de ses factures et ne parvenait pas à effectuer les démarches administratives la concernant. La signalante mentionnait encore qu’K.________ bénéficiait chaque mois d’une rente AVS de 1'792 fr., de prestations complémentaires de 819 fr., d’une allocation pour impotent de 237 fr. et d’une rente espagnole de 88 fr., laquelle n’avait jamais été déclarée aux impôts ni aux prestations complémentaires de sorte que 7'900 fr. devaient être restitués à la Caisse</w:t>
      </w:r>
    </w:p>
    <w:p>
      <w:r>
        <w:t>- 5 - de compensation, et que la fortune de l’intéressée au 31 janvier 2020 était de 5'745 francs. Par courrier du 2 juin 2020, le Dr U.________, médecin chef auprès du Service de psychiatrie et psychothérapie de la personne âgée de la [...][...], et la Dre C.________, ont informé la justice de paix qu’K.________ était suivie par l’équipe mobile de psychiatrie de la personne âgée depuis le 26 octobre 2018, que son état de santé s’était détérioré depuis la fin de l’année 2019, qu’elle était atteinte d’un trouble délirant persistant et avait besoin d’un traitement et d’un réseau stable sur lequel elle pouvait s’appuyer, que son état de santé avait nécessité un placement à des fins d’assistance ordonné par la Dre C.________ le 1er avril 2020 en court séjour en EMS, qu’elle avait regagné son appartement et qu’elle allait mieux mais nécessitait un suivi médical ainsi qu’un encadrement spécialisé avec un réseau comprenant plusieurs intervenants. Les médecins ajoutaient que B.________ avait manifesté le désir de vouloir s’impliquer davantage pour sa mère et faisait partie du réseau de soins depuis le 12 mai 2020. Précisant que l’intéressée ne présentait pas de capacité de discernement, les médecins estimaient qu’elle n’était pas apte à se prononcer sur l’institution en sa faveur d’une curatelle, que des mesures ambulatoires avaient du sens pour la stabilité d’K.________ et qu’une curatelle de portée générale était nécessaire, la mesure devant être confiée à un membre extérieur à la famille dès lors que les enfants étaient en conflits entre eux et n’étaient pas des proches aidants pour leur mère faute d’avoir par le passé pu assurer une continuité de présence. Par courrier à la justice de paix du 4 juin 2020, G.________ a indiqué que la question de la curatelle avait été discutée avec K.________ et son fils B.________ lors d’un réseau du 12 mai 2020 en présence du Dr P.________, de la Dre C.________, d’X.________ et de Madame [...] de l’EMS [...]. Selon ses informations, les relations familiales étaient parfois compliquées et il y avait peu de contact avec W.________ ; B.________ avait repris la gestion financière de sa mère fin mars 2020 lorsque celle-ci était en court séjour à l’EMS [...] et que le CMS n’était pas autorisé à s’y rendre</w:t>
      </w:r>
    </w:p>
    <w:p>
      <w:r>
        <w:t>- 6 - en raison de la crise sanitaire et l’avait informée, par courriel du 28 mai 2020, qu’il souhaitait au besoin être nommé curateur de sa mère qui était très contente qu’il s’occupe de payer ses factures et d’autres tâches administratives. G.________ ajoutait que W.________ l’avait informée le 3 juin 2020 qu’elle était favorable à l’institution d’une curatelle en faveur de sa mère, mais qu’elle n’était pas disponible pour être désignée curatrice de celle-ci.</w:t>
      </w:r>
    </w:p>
    <w:p>
      <w:r>
        <w:rPr>
          <w:b/>
        </w:rPr>
        <w:t>E. 2.1</w:t>
      </w:r>
    </w:p>
    <w:p>
      <w:r>
        <w:t>La Chambre des curatelles, qui n’est pas tenue par les moyens et les conclusions des parties, examine d’office si la décision n’est pas</w:t>
      </w:r>
    </w:p>
    <w:p>
      <w:r>
        <w:t>- 11 -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w:t>
      </w:r>
    </w:p>
    <w:p>
      <w:r>
        <w:rPr>
          <w:b/>
        </w:rPr>
        <w:t>E. 2.2</w:t>
      </w:r>
    </w:p>
    <w:p>
      <w:r>
        <w:t>En l’espèce, la justice de paix a procédé à l’audition K.________ et de son fils à l’audience du 4 août 2020. Par courrier du 30 octobre 2020, la juge de paix a informé le recourant qu’elle transmettait sa demande de libération à la justice de paix afin qu’elle se prononce à huis clos, dans sa prochaine séance, sur son remplacement. Le 11 janvier 2021, elle lui a rappelé que la décision du 17 novembre 2020 contre laquelle il recourait concernait uniquement le changement de curateur et qu’elle n’avait aucune objection à ce qu’il reprenne la gestion des affaires de sa mère sans curatelle moyennant qu’il produise, pour une éventuelle reconsidération, un certificat médical du Dr P.________ attestant qu’K.________ était en mesure de signer une procuration en sa faveur. B.________ ne s’étant pas exécuté dans le délai imparti et prolongé à cet effet, l’autorité de protection a transmis son courrier du 7 janvier 2021 à la Chambre des curatelles pour valoir recours. Il s’ensuit que le droit d’être entendu des parties a été respecté. La décision entreprise ayant été rendue conformément aux règles de procédure applicables, la cause peut être examinée sur le fond.</w:t>
      </w:r>
    </w:p>
    <w:p>
      <w:r>
        <w:t>- 12 -</w:t>
      </w:r>
    </w:p>
    <w:p>
      <w:r>
        <w:rPr>
          <w:b/>
        </w:rPr>
        <w:t>E. 3</w:t>
      </w:r>
    </w:p>
    <w:p>
      <w:r>
        <w:t>Les recourants contestent qu’une personne extérieure à leur famille puisse être désignée curateur de la personne concernée. Ils font valoir que fils et fille de la recourante se sont toujours occupés de leur mère conformément à son bien-être et à ses besoins, qu’une opération de la hanche est prévue, qu’elle atténuera ses douleurs et que la nouvelle médication instaurée par le Dr P.________ a été très bénéfique. Force est de constater qu’aucun de ces éléments ne permet de revenir sur les constats faits en septembre 2020 et de considérer qu’K.________ n’a pas besoin de protection, sous forme d’une curatelle selon les modalités définies alors pour son institution.</w:t>
      </w:r>
    </w:p>
    <w:p>
      <w:r>
        <w:rPr>
          <w:b/>
        </w:rPr>
        <w:t>E. 3.1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les connaissances nécessaires aux tâches prévues, c’est-à-dire les qualités personnelles et relationnelles ainsi que les compétences professionnelles pour les accomplir. L’autorité de protection est tenue de vérifier d’office que la condition posée part. 400 al. 1 CC est réalisé, devoir qui incombe aussi à l’autorité de recours (TF 5A_706/2017 du 12 février 2018 consid. 6.2 ; TF 5A_904 du 17 mars 2015 consid. 2.1 et les réf. cit.). En vertu de l’art. 401 al. 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concernées soulève à la nomination d’une personne déterminée (al. 3).</w:t>
      </w:r>
    </w:p>
    <w:p>
      <w:r>
        <w:t>- 13 - Les « conditions requises »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Une attention particulière doit également être apportée au risque de conflit d’intérêts entre la personne à protéger et celle qui est pressentie comme curateur (ATF 140 III 1 consid. 4.2 ; Reusser, Basler Kommentar, op. cit., n. 14 ad art. 401 CC, p. 2424 ; Häfeli, in Commentaire du droit de la famille [CommFam], Protection de l'adulte, Berne 2013, n. 2 ad art. 401 CC, p. 519 ; TF 5A_904/2014 du 17 mars 2015 consid. 2.1). Indépendamment de la disponibilité du curateur (Reusser, Basler Kommentar, op. cit., n. 27 ad art. 400 CC, p. 2412), le critère déterminant pour la nomination d’une personne concernée est son aptitude à accomplir les tâches qui lui seront confiées (Message du 28 juin 206 concernant la révision du Code civil suisse [Protection des personnes, droit des personnes et droit de la filiation], FF 2006 pp. 6635 spéc. p. 6683). L’aptitude à occuper la fonction de curateur suppose en particulier que la personne choisie puisse être investie de cette charge, autrement dit que cette mission soit pour elle supportable physiquement et psychologiquement (Schnyder/Murer, Berner Kommentar, 1984, n. 59 ad art. 379 aCC, pp. 702 ss, point de vue qui demeure valable sous l’empire du nouveau droit). En d’autres termes, le curateur doit disposer de compétences professionnelles, soit être capable de saisir les multiples facettes des problèmes de la personne concernée, d’une compétence méthodologique, soit une capacité à trouver des solutions, à travailler en réseau, et de compétences personnelles, soit d’être capable de s’investir pour la personne concernée (Häfeli, CommFam, nn. 12 à 16 ad art. 400 CC, pp. 510 et 511). L’autorité de protection est tenue d’accéder aux souhaits de la personne concernée lorsque celle-ci propose une personne de confiance comme curateur. Cette règle découle du principe d'autodétermination qui prévaut dans le nouveau droit de protection de l'adulte et tient compte du</w:t>
      </w:r>
    </w:p>
    <w:p>
      <w:r>
        <w:t>- 14 -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(TF 5A_228/2018 du 30 avril 2018 consid. 4.2.1 ; TF 5A_904/2014 du 17 mars 2015 consid. 2.2 ; Meier, Droit de la protection de l’adulte, Genève/Zurich/Bâle 2016, n. 956, p. 460, Guide pratique COPMA 2012, n. 6.21, p. 186). Dans l’application de cette disposition, l'autorité de protection jouit d'un large pouvoir d'appréciation, qu’elle doit exercer à la lumière des intérêts de la personne concernée (Meier, Droit de la protection de l'adulte, op. cit., n. 1147, p. 557 ; TF 5A_391/2016 du 4 octobre 2016 consid. 5.2.2).</w:t>
      </w:r>
    </w:p>
    <w:p>
      <w:r>
        <w:rPr>
          <w:b/>
        </w:rPr>
        <w:t>E. 3.2</w:t>
      </w:r>
    </w:p>
    <w:p>
      <w:r>
        <w:t>En l’espèce, il ressort du dossier que B.________ a été désigné en qualité de curateur de sa mère alors même que l’équipe mobile de psychiatrie de la personne âgée préconisait la désignation d’un curateur extérieur à la famille, contrairement au CMS qui pensait que le prénommé pouvait remplir cette tâche. Après avoir accepté sa mission, le curateur a demandé le 27 octobre 2020 à être relevé, au motif que le nombre et la lourdeur des tâches était trop importants. Il a proposé la désignation d’une assistante sociale du CMS de Clarens. Or à la suite eu recours du 7 janvier 2021, la justice de paix lui a imparti un délai pour produire un certificat médical attestant que sa mère était en mesure de signer une procuration ainsi qu’une procuration de sa mère en sa faveur. Le recourant n’a pas produit ces documents dans le délai au 8 février 2021 prolongé à cet effet. Il en découle, comme dit ci-dessus, qu’aucun élément nouveau ne permet de lever la mesure de curatelle, mais également que B.________ ne peut pas se charger de la mission de curateur dont il doit être relevé, comme il l’a au demeurant requis. Par ailleurs, il n’y a pas lieu de désigner une assistante sociale du CMS comme curatrice, ces deux activités pouvant être source de conflits. La fille de la personne a indiqué en juin 2020 ne pas être disponible. Il y a ainsi lieu de confirmer la désignation de [...], avec lequel les recourants ne peuvent qu’être incités à collaborer.</w:t>
      </w:r>
    </w:p>
    <w:p>
      <w:r>
        <w:t>- 15 - Partant, conformément à l’art. 423 al. 1 CC, il était justifié de relever et libérer B.________ de son mandat de curatrice, aucune mesure plus légère n’étant en l’état envisageable pour le maintenir dans ce rôle. Le moyen est ainsi infondé.</w:t>
      </w:r>
    </w:p>
    <w:p>
      <w:r>
        <w:rPr>
          <w:b/>
        </w:rPr>
        <w:t>E. 4</w:t>
      </w:r>
    </w:p>
    <w:p>
      <w:r>
        <w:t>En conclusion, le recours de B.________ et K.________ doit être rejeté, dans la mesure où il est recevable, et la décision entreprise confirmée. L’arrêt est rendu sans frais judiciaires de deuxième instance (art. 74a al. 4 TFJC [Tarif du 28 septembre 2010 des frais judiciaires civils ; BLV 270.11.5]). Par ces motifs, la Chambre des curatelles du Tribunal cantonal, statuant à huis clos, prononce : I. Le recours est rejeté dans la mesure où il est recevable. II. La décision est confirmée. III. L’arrêt, rendu sans frais de deuxième instance, est exécutoire. Le président : La greffière : Du</w:t>
      </w:r>
    </w:p>
    <w:p>
      <w:r>
        <w:t>- 16 - L'arrêt qui précède, dont la rédaction a été approuvée à huis clos, est notifié à : - Mme K.________, - M. B.________, - M. [...],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