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OC19.037563 vom 26. April 2020</w:t>
      </w:r>
    </w:p>
    <w:p>
      <w:r>
        <w:t>VD Tribunal cantonal, 2020-04-26, FR</w:t>
      </w:r>
    </w:p>
    <w:p>
      <w:r>
        <w:rPr>
          <w:b/>
        </w:rPr>
        <w:t xml:space="preserve">Quelle: </w:t>
      </w:r>
      <w:r>
        <w:t>https://mcp.opencaselaw.ch/entscheid/vd_gerichte_OC19.037563</w:t>
      </w:r>
    </w:p>
    <w:p>
      <w:r>
        <w:t>FR: VD_GERICHTE OC19.037563 du 26 avril 2020</w:t>
      </w:r>
    </w:p>
    <w:p>
      <w:r>
        <w:t>IT: VD_GERICHTE OC19.037563 del 26 aprile 2020</w:t>
      </w:r>
    </w:p>
    <w:p>
      <w:pPr>
        <w:pStyle w:val="Heading2"/>
      </w:pPr>
      <w:r>
        <w:t>Erwägungen</w:t>
      </w:r>
    </w:p>
    <w:p>
      <w:r>
        <w:rPr>
          <w:b/>
        </w:rPr>
        <w:t>E. 1</w:t>
      </w:r>
    </w:p>
    <w:p>
      <w:r>
        <w:t>Par courrier du 8 juin 2019, A.V.________ a indiqué à la Justice de paix de l’Ouest lausannois (ci-après : justice de paix) que sa mère B.V.________, née le [...] 1931, avait besoin d’aide. A l’audience du 9 juillet 2019, A.V.________ a précisé qu’il s’occupait de longue date des affaires de feu son père et de sa mère, laquelle résidait en institution et ne disposait plus de sa capacité de discernement ainsi que le démontrait le certificat médical établi le 29 mai 2019 par le Dr [...], médecin généraliste à Prilly. Par décision du 16 juillet 2019, la justice de paix a mis fin à l’enquête en institution d’une curatelle ouverte en faveur de B.V.________, institué une curatelle de représentation au sens de l’art. 394 al. 1 CC (Code civil suisse du 10 décembre 1907 ; RS 210) et de gestion au sens de</w:t>
      </w:r>
    </w:p>
    <w:p>
      <w:r>
        <w:t>- 3 - l’art. 395 al. 1 CC en faveur de B.V.________, nommé en qualité de curateur A.V.________, dont il a défini les tâches, et invité celui-ci à remettre au juge dans un délai de 20 jours dès notification de la décision un inventaire des biens de l’intéressée accompagné d’un budget annuel et à soumettre des comptes annuellement à l’approbation de l’autorité avec un rapport sur son activité et sur l’évolution de la situation de B.V.________.</w:t>
      </w:r>
    </w:p>
    <w:p>
      <w:r>
        <w:rPr>
          <w:b/>
        </w:rPr>
        <w:t>E. 1.1</w:t>
      </w:r>
    </w:p>
    <w:p>
      <w:r>
        <w:t>Le recours est dirigé contre un décompte de frais de justice accompagnant une approbation de comptes par la juge de paix.</w:t>
      </w:r>
    </w:p>
    <w:p>
      <w:r>
        <w:rPr>
          <w:b/>
        </w:rPr>
        <w:t>E. 1.2.1</w:t>
      </w:r>
    </w:p>
    <w:p>
      <w:r>
        <w:t>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w:t>
      </w:r>
    </w:p>
    <w:p>
      <w:r>
        <w:t>- 4 -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la partie ne veut s’en prendre qu’au montant ou à la répartition des frais, elle devra recourir au sens des art. 319 ss CPC (Code de procédure civile du 19 décembre 2008 ; RS 272), applicables par renvoi de l'art. 450f CC (JdT 2015 Ill 161 ; Tappy, Commentaire romand, Code de procédure civile, Bâle 2019, 2e éd., cité : CR-CPC, nn. 3 et 4 ad art. 110 CPC, p. 508) et le pouvoir d’examen est celui, restreint, des art. 59 al. 2 et 320 CPC (CCUR 3 juillet 2019/101).</w:t>
      </w:r>
    </w:p>
    <w:p>
      <w:r>
        <w:rPr>
          <w:b/>
        </w:rPr>
        <w:t>E. 1.2.2</w:t>
      </w:r>
    </w:p>
    <w:p>
      <w:r>
        <w:t>La loi prévoit un délai de recours de 10 jours pour les ordonnances d’instruction (indépendamment de la nature de la procédure principale) selon l’art. 321 al. 2 CPC (Colombini, Note sur les voies de droit contre les décisions d’instruction rendues par l’autorité de protection, JdT 2015 III 161 ; Jeandin, CR CPC, n. 10 ad art. 321 CPC, p. 1554). En revanche, les « autres décisions » mentionnées à l’art. 319 let. b CPC, qui devraient être réduites à la portion congrue (JdT 2012 III 132 ; sur la difficulté de distinguer les ordonnances d’instruction et les « autres décisions », cf. Jeandin, op. cit, n. 16 ad art. 319 CPC, p. 1545), sont soumises au délai applicable à la procédure au fond (art. 321 al. 2 CPC a contrario ; Jeandin, op. cit., n. 10 ad art. 321 CPC, p. 1554), qu’elles soient prises dans la décision finale ou de manière séparée (cf. Tappy, CR- CPC, n. 10 ad art. 110 CPC). Le recours séparé sur la décision qui fixe les frais au sens de l’art. 110 CPC est un des cas de recours prévu par la loi à l’art. 319 let. b ch. 1 CPC contre les « autres décisions » et est donc soumis au délai applicable à la procédure au fond (CREC 17 octobre 2011/191 : délai de 30 jours pour une décision sur les frais prise dans une procédure de divorce). En cas de recours stricto sensu séparé sur le seul sort des frais réglés dans une décision finale, incidente ou provisionnelle, le délai de recours est en</w:t>
      </w:r>
    </w:p>
    <w:p>
      <w:r>
        <w:t>- 5 - principe de 30 jours selon l’art. 321 al. 1 CPC, sous réserve des cas de l’art. 321 al. 2 CPC, savoir si la procédure au fond est régie par la procédure sommaire, auquel cas le délai de recours est de 10 jours (CREC 11 juillet 2016/269 ; Colombini, Code de procédure civile, condensé de la jurisprudence fédérale et vaudoise, n. 2.1 ad art. 110 CPC, p. 469 ; Tappy, CR-CPC, n. 10 ad art. 110 CPC, p. 510). En l’espèce, dans la mesure où le décompte de frais querellé est lié à l’approbation des comptes et que le délai de recours contre l’approbation des comptes est de 30 jours (art. 450 CC et 450b al. 1 CC), le délai de recours est de 30 jours. En l’occurrence, le recours, motivé, a été interjeté en temps utile par la personne concernée.</w:t>
      </w:r>
    </w:p>
    <w:p>
      <w:r>
        <w:rPr>
          <w:b/>
        </w:rPr>
        <w:t>E. 2</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3e éd., Bâle 2017, n. 26 ad art. 319 CPC, p. 1932)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p. 1115). Conformément à l’art. 326 al. 1 CPC, les conclusions, les allégations de faits et les preuves nouvelles sont irrecevables.</w:t>
      </w:r>
    </w:p>
    <w:p>
      <w:r>
        <w:t>- 6 -</w:t>
      </w:r>
    </w:p>
    <w:p>
      <w:r>
        <w:rPr>
          <w:b/>
        </w:rPr>
        <w:t>E. 3.1</w:t>
      </w:r>
    </w:p>
    <w:p>
      <w:r>
        <w:t>Le recourant conteste le montant des émoluments qu’il estime disproportionné, se prévalant du fait que les comptes de la curatelle approuvés par l’autorité ne portaient que sur une période de 4 mois.</w:t>
      </w:r>
    </w:p>
    <w:p>
      <w:r>
        <w:rPr>
          <w:b/>
        </w:rPr>
        <w:t>E. 3.2</w:t>
      </w:r>
    </w:p>
    <w:p>
      <w:r>
        <w:t>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4A_35/2015 du 12 juin 2015 consid. 3.2 et 3.3). L’exigence de conclusions chiffrées sous peine d’irrecevabilité du recours contre un prononcé sur frais ne constitue pas un formalisme excessif (TF 4D_61/2011 du 26 octobre 2011 consid. 2.3, RSPC 2012 p. 92 ; Colombini, op. cit., n. 4.1 et 4.2 ad art. 110 CPC, p. 470).</w:t>
      </w:r>
    </w:p>
    <w:p>
      <w:r>
        <w:rPr>
          <w:b/>
        </w:rPr>
        <w:t>E. 3.3</w:t>
      </w:r>
    </w:p>
    <w:p>
      <w:r>
        <w:t>En l’espèce, le recourant ne conteste pas le principe de la mise à charge des frais, mais uniquement leur quotité. Il ne chiffre cependant pas sa conclusion, de sorte que son recours est irrecevable.</w:t>
      </w:r>
    </w:p>
    <w:p>
      <w:r>
        <w:rPr>
          <w:b/>
        </w:rPr>
        <w:t>E. 3.4</w:t>
      </w:r>
    </w:p>
    <w:p>
      <w:r>
        <w:t>A supposer recevable, le recours serait infondé. Selon l’art. 50m TFJC (tarif du 28 septembre 2010 des frais judiciaires civils ; BLV 270.11.5), il est dû, pour le contrôle de la curatelle, y compris le rapport, ainsi que pour l’examen et l’approbation des comptes de la curatelle (art. 415 al. 1 et 2 CC) : 1 franc par tranche ou fraction de 1'000 francs, mais 100 francs au moins et 1'500 francs au plus. Compte tenu d’un patrimoine net de 367'618 fr. 75, le calcul de l’émolument est en l’occurrence correct. Il n’y a pas lieu de retenir une réduction, qui n’est pas prévue par le tarif, au motif que la curatelle a duré moins d’une année, le travail</w:t>
      </w:r>
    </w:p>
    <w:p>
      <w:r>
        <w:t>- 7 - d’examen et d’approbation des comptes étant d’ailleurs pratiquement équivalent, quelle que soit la durée du mandat.</w:t>
      </w:r>
    </w:p>
    <w:p>
      <w:r>
        <w:rPr>
          <w:b/>
        </w:rPr>
        <w:t>E. 4</w:t>
      </w:r>
    </w:p>
    <w:p>
      <w:r>
        <w:t>En conclusion, le recours de A.V.________ est irrecevable. Le présent arrêt peut être rendu sans frais judiciaires (art. 74a al. 4 TFJC). Par ces motifs, la Chambre des curatelles du Tribunal cantonal, statuant à huis clos, prononce : I. Le recours est irrecevable. II. L’arrêt est rendu sans frais judiciaires de deuxième instance. III. L'arrêt est exécutoire. Le président : La greffière : Du</w:t>
      </w:r>
    </w:p>
    <w:p>
      <w:r>
        <w:t>- 8 - L'arrêt qui précède, dont la rédaction a été approuvée à huis clos, est notifié à : - M. A.V.________, - Mme B.V.________,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