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OC19.021284 vom 22. Dezember 2020</w:t>
      </w:r>
    </w:p>
    <w:p>
      <w:r>
        <w:t>VD Tribunal cantonal, 2020-12-22, FR</w:t>
      </w:r>
    </w:p>
    <w:p>
      <w:r>
        <w:rPr>
          <w:b/>
        </w:rPr>
        <w:t xml:space="preserve">Quelle: </w:t>
      </w:r>
      <w:r>
        <w:t>https://mcp.opencaselaw.ch/entscheid/vd_gerichte_OC19.021284</w:t>
      </w:r>
    </w:p>
    <w:p>
      <w:r>
        <w:t>FR: VD_GERICHTE OC19.021284 du 22 décembre 2020</w:t>
      </w:r>
    </w:p>
    <w:p>
      <w:r>
        <w:t>IT: VD_GERICHTE OC19.021284 del 22 dicembre 2020</w:t>
      </w:r>
    </w:p>
    <w:p>
      <w:pPr>
        <w:pStyle w:val="Heading2"/>
      </w:pPr>
      <w:r>
        <w:t>Erwägungen</w:t>
      </w:r>
    </w:p>
    <w:p>
      <w:r>
        <w:rPr>
          <w:b/>
        </w:rPr>
        <w:t>E. 4</w:t>
      </w:r>
    </w:p>
    <w:p>
      <w:r>
        <w:t>Le compte de la personne sous curatelle, établi le 16 juillet 2020, faisait état au 31 décembre 2019 d’un patrimoine net de 42'891 fr. 75. Au chapitre des sorties de fonds, la curatrice a indiqué que le loyer annuel de Q.________ était de 6'400 francs.</w:t>
      </w:r>
    </w:p>
    <w:p>
      <w:r>
        <w:t>- 8 -</w:t>
      </w:r>
    </w:p>
    <w:p>
      <w:r>
        <w:rPr>
          <w:b/>
        </w:rPr>
        <w:t>E. 5</w:t>
      </w:r>
    </w:p>
    <w:p>
      <w:r>
        <w:t>Le 19 août 2020, [...] a adressé à P.________ un devis pour le débarras de l’appartement et de la cave de Q.________ ainsi que pour le nettoyage de 2'854 fr. 60. Le 21 août 2020, [...] a établi à l’adresse de la curatrice un devis de 2'143 fr. 23 pour les frais de débarras et de récupération des biens de l’appartement de la personne concernée ainsi que de déchetterie et de location d’un camion, à laquelle s’ajoutaient 1'125 fr. pour le nettoyage du logement. Par décision du 2 septembre 2020, la juge de paix a indiqué à P.________, qu’elle confirmait dans son mandat de curatrice, que le compte précité du 16 juillet 2020 avait été approuvé dans sa séance du 24 août 2020.</w:t>
      </w:r>
    </w:p>
    <w:p>
      <w:r>
        <w:rPr>
          <w:b/>
        </w:rPr>
        <w:t>E. 6</w:t>
      </w:r>
    </w:p>
    <w:p>
      <w:r>
        <w:t>Par courrier du 8 septembre 2020, P.________ a requis de l’autorité de protection qu’elle consente à la liquidation du ménage et à la résiliation du contrat de bail de l’appartement de Q.________ à [...]. Elle joignait à sa requête un inventaire du mobilier du logement de l’intéressée, que celle-ci avait refusé de signer en indiquant qu’elle s’opposait catégoriquement à la liquidation de son appartement, ainsi que des photographies de l’appartement et de son contenu. Par courrier du 11 septembre 2020, la juge de paix a rappelé à Q.________ que la Chambre des curatelles avait confirmé que l’endroit le plus adapté pour elle, à tout le moins en l’état et pour ces prochains temps, était la résidence dans laquelle elle séjournait, mais qu’il n’était plus possible de continuer à payer tant la pension de l’EMS que son loyer et qu’il fallait en conséquence résilier le bail de son appartement et liquider son ménage. Elle l’informait que la curatrice allait lui rapporter tous les effets personnels qu’elle souhaitait conserver, qu’elle pourrait lui indiquer si elle souhaitait donner certaines choses à des tiers et que, pour le surplus, elle allait mandater une entreprise qui se chargerait de restituer son appartement à la gérance. Le 25 septembre 2020, la curatrice a fait parvenir à l’autorité de protection un certificat médical du 16 septembre 2020 aux termes</w:t>
      </w:r>
    </w:p>
    <w:p>
      <w:r>
        <w:t>- 9 - duquel le Dr [...] indiquait que l’état de santé de Q.________ était caractérisé par le retentissement d’une maladie neurodégénérative qui abolissait sa capacité de discernement. Elle notait par ailleurs que le devis de l’entreprise [...] était plus cher que celui de [...]. En d roit : 1. 1.1 Le recours est dirigé contre une décision du juge de paix autorisant la curatrice, en application de l’art. 416 al. 1 ch. 1 CC, à liquider le ménage de la personne concernée.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w:t>
      </w:r>
    </w:p>
    <w:p>
      <w:r>
        <w:t>- 10 -</w:t>
      </w:r>
    </w:p>
    <w:p>
      <w:r>
        <w:rPr>
          <w:b/>
        </w:rPr>
        <w:t>E. 7</w:t>
      </w:r>
    </w:p>
    <w:p>
      <w:r>
        <w:t>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 1.3 En l’espèce, motivé et interjeté en temps utile par la personne concernée, le présent recours est recevable. Le recours étant manifestement mal fondé, au vu des considérations qui seront développées ci-après, il a été renoncé à consulter l'autorité de protection et la curatrice. 2.</w:t>
      </w:r>
    </w:p>
    <w:p>
      <w:r>
        <w:t>- 11 - 2.1 La recourante conteste l’autorisation donnée à sa curatrice de liquider son ménage. Elle estime que personne n’a le droit de décider à sa place. Elle fait valoir qu’elle n’a rien fait de mal et qu’elle a payé les meubles avec ses salaires. 2.2 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pour lesquelles le consentement de l’autorité s’avère nécessaire. L’art. 416 al. 1 CC en dresse l’énumération, laquelle s’en tient principalement à des actes importants et comportant des risques significatifs de caractère généralement durable (Biderbost, Commentaire du droit de la famille [CommFam], Protection de l’adulte, Berne 2013, nn. 1 et 21 ad art. 416 CC, pp. 583 et 591). L’autorité ne devra cependant pas intervenir de manière systématique : les actes mentionnés dans la loi peuvent en effet être accomplis par le curateur seul, mais avec le consentement de la personne concernée pour autant que celle-ci soit capable de discernement et que sa capacité civile n’ait pas été restreinte pour ce type de transaction (art. 416 al. 2 CC). L’art. 416 al. 1 ch. 1 CC soumet à autorisation la liquidation du ménage et la résiliation du contrat de bail du logement de la personne concernée. 2.3 En l’espèce, la curatrice a demandé l’autorisation litigieuse par requête du 8 septembre 2020, complétée le 25 du même mois. Elle a produit un certificat médical du 16 septembre 2020, confirmant que la personne concernée souffrait d’une maladie neurodégénérative qui avait</w:t>
      </w:r>
    </w:p>
    <w:p>
      <w:r>
        <w:t>- 12 - aboli sa capacité de discernement. Elle a également produit un inventaire du mobilier, des photographies et des devis pour le débarras du mobilier et le nettoyage du logement de la personne concernée. Vu l’affection psychique incurable et allant en s’aggravant dont souffre la recourante, un retour à domicile est très peu plausible. Celle-ci n’a pas de proche pouvant l’aider et refuse l’assistance des intervenants sociaux. La décision litigieuse sauvegarde les intérêts financiers de la recourante, en lui évitant de payer un loyer inutile et d’entamer sa fortune, et ses intérêts personnels en lui permettant de récupérer les objets ayant une valeur sentimentale. La recourante ne prétend pas que ce mobilier aurait par ailleurs une grande valeur marchande, laquelle justifierait une autre solution qu’un débarras. Enfin, la recourante n’ayant plus son discernement, il appartient bien à la curatrice de prendre des décisions à la place de celle- ci, afin de la protéger et non de la punir. 3. 3.1 En conclusion, le recours de Q.________ doit être rejeté et la décision entreprise confirmée. 3.2 Le présent arrêt peut être rendu sans frais judiciaires (art. 74a al. 4 TFJC).</w:t>
      </w:r>
    </w:p>
    <w:p>
      <w:r>
        <w:t>- 13 - Par ces motifs, la Chambre des curatelles du Tribunal cantonal, statuant à huis clos, prononce : I. Le recours est rejeté. II. La décision est confirmée. III. L'arrêt, rendu sans frais judiciaires de deuxième instance, est exécutoire. Le président : La greffière : Du L'arrêt qui précède, dont la rédaction a été approuvée à huis clos, est notifié à : - Mme Q.________, - Mme T.________, et communiqué à : - Mme la Juge de paix du district de Morges, par l'envoi de photocopies. Le présent arrêt peut faire l'objet d'un recours en matière civile devant le Tribunal fédéral au sens des art. 72 ss LTF (loi du 17 juin</w:t>
      </w:r>
    </w:p>
    <w:p>
      <w:r>
        <w:t>- 14 - 2005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Par ces motifs, la Chambre des curatelles du Tribunal cantonal, statuant à huis clos, prononce : I. Le recours est . La décision est . . L'arrêt L président : L greffi : Du</w:t>
      </w:r>
    </w:p>
    <w:p>
      <w:r>
        <w:t>- 15 - L'arrêt qui précède, dont la rédaction a été approuvée à huis clos, est notifié à : - - et communiqué à :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greffi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