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OC18.024128 vom 30. November 2022</w:t>
      </w:r>
    </w:p>
    <w:p>
      <w:r>
        <w:t>VD Tribunal cantonal, 2022-11-30, FR</w:t>
      </w:r>
    </w:p>
    <w:p>
      <w:r>
        <w:rPr>
          <w:b/>
        </w:rPr>
        <w:t xml:space="preserve">Quelle: </w:t>
      </w:r>
      <w:r>
        <w:t>https://mcp.opencaselaw.ch/entscheid/vd_gerichte_OC18.024128</w:t>
      </w:r>
    </w:p>
    <w:p>
      <w:r>
        <w:t>FR: VD_GERICHTE OC18.024128 du 30 novembre 2022</w:t>
      </w:r>
    </w:p>
    <w:p>
      <w:r>
        <w:t>IT: VD_GERICHTE OC18.024128 del 30 novembre 2022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Demander au SCTP de se tenir à disposition pour un entretien dans leurs locaux pour des éventuelles questions en lien avec la curatelle de la défunte ;</w:t>
      </w:r>
    </w:p>
    <w:p>
      <w:r>
        <w:rPr>
          <w:b/>
        </w:rPr>
        <w:t>E. 3</w:t>
      </w:r>
    </w:p>
    <w:p>
      <w:r>
        <w:t>Demander au SCTP de rembourser à la succession, entièrement ou partiellement, les émoluments et débours en relation avec la facture de 2'314 fr. ;</w:t>
      </w:r>
    </w:p>
    <w:p>
      <w:r>
        <w:rPr>
          <w:b/>
        </w:rPr>
        <w:t>E. 4</w:t>
      </w:r>
    </w:p>
    <w:p>
      <w:r>
        <w:t>Demander au SCTP de verser au soussigné le montant de 5'000 fr. et 2'000 fr. à titre d’indemnité et de réparation pour tort moral ;</w:t>
      </w:r>
    </w:p>
    <w:p>
      <w:r>
        <w:rPr>
          <w:b/>
        </w:rPr>
        <w:t>E. 5</w:t>
      </w:r>
    </w:p>
    <w:p>
      <w:r>
        <w:t>Demander au SCTP de prendre en charge l’intégralité des frais d’avocat de 1'248 fr. et de rembourser le montant reçu à la succession. » C. La Chambre retient les faits suivants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