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OC16.014339 vom 31. Mai 2016</w:t>
      </w:r>
    </w:p>
    <w:p>
      <w:r>
        <w:t>VD Tribunal cantonal, 2016-05-31, FR</w:t>
      </w:r>
    </w:p>
    <w:p>
      <w:r>
        <w:rPr>
          <w:b/>
        </w:rPr>
        <w:t xml:space="preserve">Quelle: </w:t>
      </w:r>
      <w:r>
        <w:t>https://mcp.opencaselaw.ch/entscheid/vd_gerichte_OC16.014339</w:t>
      </w:r>
    </w:p>
    <w:p>
      <w:r>
        <w:t>FR: VD_GERICHTE OC16.014339 du 31 mai 2016</w:t>
      </w:r>
    </w:p>
    <w:p>
      <w:r>
        <w:t>IT: VD_GERICHTE OC16.014339 del 31 maggio 2016</w:t>
      </w:r>
    </w:p>
    <w:p>
      <w:pPr>
        <w:pStyle w:val="Heading2"/>
      </w:pPr>
      <w:r>
        <w:t>Volltext</w:t>
      </w:r>
    </w:p>
    <w:p>
      <w:r>
        <w:t>TRIBUNAL CANTONAL OC16.014339-160666 107 CHAMBRE DE S CURATELLE S ___________________________________ Arrêt du 31 mai 2016 __________________ Composition : Mme KÜHNLEIN, présidente Mme Courbat et M. Stoudmann, juges Greffier : Mme Rodondi ***** Art. 393, 394 al. 1, 395 al. 1 et 450 CC La Chambre des curatelles du Tribunal cantonal prend séance pour statuer sur le recours interjeté par S.________, aux [...], contre la décision rendue le 8 décembre 2015 par la Justice de paix du district de Lausanne dans la cause la concernant. Délibérant à huis clos, la cour voit :</w:t>
      </w:r>
    </w:p>
    <w:p>
      <w:r>
        <w:t>- 2 - En fait : A. Par décision du 8 décembre 2015, adressée pour notification le 30 mars 2016, la Justice de paix du district de Lausanne (ci-après : justice de paix) a mis fin à l'enquête en institution d'une curatelle ouverte en faveur de S.________ (I), institué une curatelle de représentation et de gestion au sens des art. 394 al. 1 et 395 al. 1 CC (Code civil suisse du 10 décembre 1907 ; RS 210) en faveur de la prénommée (II), nommé D.________, assistant social auprès de l'Office des curatelles et tutelles professionnelles (ci-après : OCTP), en qualité de curateur et dit qu'en cas d'absence de celui-ci, ledit office assurera son remplacement en attendant son retour ou la désignation d'un nouveau curateur (III), dit que le curateur aura pour tâches, dans le cadre de la curatelle de représentation, de représenter S.________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S.________, d’administrer ses biens avec diligence et d’accomplir les actes juridiques liés à la gestion ainsi que de la représenter, si nécessaire, pour ses besoins ordinaires (IV), invité le curateur à remettre au juge, dans un délai de huit semaines dès notification de la décision, un inventaire des biens de S.________ accompagné d'un budget annuel et à soumettre des comptes tous les deux ans à l’approbation de l'autorité avec un rapport sur son activité et sur l'évolution de la situation de l’intéressée (V), autorisé le curateur à prendre connaissance de la correspondance de S.________ afin qu’il puisse obtenir des informations sur sa situation financière et administrative et s’enquérir des conditions de vie de la prénommée (VI), privé d'effet suspensif tout recours éventuel contre la décision (VII) et laissé les frais, y compris les éventuels débours, à la charge de l'Etat (VIII). En droit, les premiers juges ont considéré qu’une curatelle de représentation et de gestion paraissait opportune et adaptée à la situation de S.________, l’aide fournie par les proches ou les services privés ou</w:t>
      </w:r>
    </w:p>
    <w:p>
      <w:r>
        <w:t>- 3 - publics semblant insuffisante en l’état. Ils ont retenu en substance qu’il ressortait du rapport médical des docteurs E.________ et T.________ que l’intéressée souffrait d’un trouble de la personnalité avec des fluctuations de l’humeur sur un mode « labile », que ses compétences intellectuelles étaient « moyen faible », qu’elle avait la capacité de discernement pour la gestion de ses affaires, mais avait un fonctionnement de personnalité pathologique, avec notamment des traits dépendants, pouvant l’amener à opter pour des solutions en sa défaveur au bénéfice des besoins d’autres personnes, notamment ses proches ou son entourage et que des événements de vie pouvaient produire de courtes périodes d’instabilité et de débordements émotionnels. Ils ont également constaté qu’elle percevait une rente AI, avait des poursuites pour environ 20'000 fr. et vivait actuellement dans un camping avec son compagnon, lequel avait déclaré qu’ils rencontraient des difficultés sur le plan administratif, notamment pour leur déclaration d’impôts. B. Par acte du 22 avril 2016, S.________ a recouru contre cette décision en concluant à son annulation. Elle a invoqué son déménagement dans le canton de [...] et l’aide apportée par sa mère pour ses affaires administratives. Elle a joint sept pièces à l’appui de son écriture. Interpellée, la justice de paix a, par courrier du 13 mai 2016, informé qu’elle renonçait à se déterminer, se référant intégralement au contenu de sa décision. Dans ses déterminations du 19 mai 2016, l’OCTP a préavisé en faveur d’une levée de la mesure de protection. C. La cour retient les faits suivants : Par décision du 27 novembre 2012, la justice de paix a prononcé le retrait de l’autorité parentale de S.________, née le [...] 1988, sur ses enfants A.F.________ et B.F.________.</w:t>
      </w:r>
    </w:p>
    <w:p>
      <w:r>
        <w:t>- 4 - Le 20 janvier 2015, le Service de protection de la jeunesse (ci- après : SPJ) a établi un rapport concernant A.F.________ et B.F.________ dans le cadre de l’enquête en limitation de l’autorité parentale et en fixation du droit de visite les concernant. Il a fait état de la fragilité personnelle, psychique, familiale et financière de S.________ et des difficultés à entrer en contact avec elle. Il a préconisé un signalement de sa situation personnelle auprès de l’autorité de protection de l’enfant et de l’adulte compétente dans son canton de domicile, à savoir le canton de [...]. Le 30 janvier 2015, la justice de paix a signalé à l’autorité de protection de l’enfant et de l’adulte de [...] - Tribunal régional [...] (ci- après : tribunal régional) la situation de S.________. Par lettre du 11 juin 2015, le tribunal régional a informé la justice de paix qu’il classait l’affaire sans suite, S.________ ayant quitté [...] pour retourner vivre à [...]. Le 25 août 2015, le Juge de paix du district de Lausanne (ci- après : juge de paix) a procédé à l’audition de S.________. Cette dernière a alors exposé qu’elle vivait actuellement dans un camping, à [...], avec son compagnon X.________, qui était au bénéfice de l’aide sociale, qu’elle avait des poursuites pour un montant de 20'000 fr. et qu’elle percevait une rente AI. Elle a expliqué qu’en juin 2014, elle avait indiqué au SPJ que sa situation était catastrophique et qu’à la suite de cela, son cas avait été signalé car elle ne payait plus ses factures. Elle a affirmé qu’aujourd’hui sa situation s’améliorait, tout en relevant qu’auparavant il lui arrivait de ne pas se préoccuper de ses affaires administratives et qu’elle n’était pas encore sûre de pouvoir entreprendre des démarches. X.________ a précisé qu’ils rencontraient des difficultés s’agissant des papiers administratifs, notamment pour leur déclaration d’impôts. Au terme de l’audience, le juge de paix a informé S.________ qu’il ouvrait une enquête en institution d’une mesure de curatelle et qu’une décision serait rendue ultérieurement lors</w:t>
      </w:r>
    </w:p>
    <w:p>
      <w:r>
        <w:t>- 5 - d’une séance de la justice de paix. S.________ a expressément renoncé à être entendue par dite autorité. Le 19 novembre 2015, les docteurs E.________ et T.________, respectivement spécialiste en psychiatrie-psychothérapie et médecin au Centre de psychiatrie et psychothérapie [...], ont établi un rapport médical concernant S.________. Ils ont exposé que cette dernière avait été vue au centre à sa demande le 24 décembre 2014 en raison de sa crainte de se sentir moins bien durant les fêtes de fin d’année, qu’elle avait mentionné souffrir d’un trouble bipolaire et avoir reçu un traitement de Depakine par le passé, qu’un suivi régulier sans médication lui avait été proposé mais n’avait toutefois pas eu lieu dès lors qu’elle était repartie vivre à [...] et que fin mars 2015, elle avait demandé une reprise de son suivi. Ils ont diagnostiqué un trouble de la personnalité avec des fluctuations de l’humeur sur un mode « labile », tout en précisant que selon l’évolution, notamment en cas de décompensation établie de l’humeur, sur un mode dépressif ou hypomane, ce diagnostic pourrait être réévalué. Ils ont indiqué que le bilan clinique avait été complété par un examen neuropsychologique et que les compétences intellectuelles de la patiente avaient été évaluées comme « moyen faible ». Ils ont relevé que S.________ conservait sa capacité de discernement pour la gestion de ses affaires courantes, mais qu’un fonctionnement de personnalité pathologique, avec notamment des traits dépendants, pouvait l’amener à opter pour des solutions en sa défaveur au bénéfice des besoins d’autres personnes, notamment ses proches ou son entourage. Ils ont ajouté que des événements de vie pouvaient produire de courtes périodes d’instabilité et de débordements émotionnels. Le 4 avril 2016, le Contrôle des habitants de la commune de [...] a attesté que S.________ était domiciliée dans cette commune depuis le 1er avril 2016. Le 20 avril 2016, le camping de [...], à [...], a attesté que S.________ et X.________ n’habitaient plus le camping depuis le 22 mars 2016.</w:t>
      </w:r>
    </w:p>
    <w:p>
      <w:r>
        <w:t>- 6 - Par lettre du 21 avril 2016, l’OCTP a informé la justice de paix que S.________ résidait aux [...] depuis le 1er avril 2016 et l’a priée de procéder au changement de for. Il a indiqué que l’intéressée souhaitait une curatrice privée en la personne de sa mère, laquelle accepterait ce mandat. En d roit : 1. Le recours est dirigé contre une décision de la justice de paix instituant une curatelle de représentation au sens de l’art. 394 al. 1 CC et de gestion au sens de l’art. 395 al. 1 CC en faveur de S.________.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w:t>
      </w:r>
    </w:p>
    <w:p>
      <w:r>
        <w:t>- 7 -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personne concernée, le présent recours est recevable. Il en va de même des pièces produites en deuxième instance, si tant est qu’elles ne figurent pas déjà au dossier. L’autorité de protection a été consultée conformément à l’art. 450d al. 1 CC. 2. 2.1 La Chambre des curatelles, qui n’est pas tenue par les moyens et les conclusions des parties, examine d’office si la décision n’est pas</w:t>
      </w:r>
    </w:p>
    <w:p>
      <w:r>
        <w:t>- 8 -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l’espèce, le juge de paix a procédé seul à l’audition de S.________ lors de son audience du 25 août 2015. Cette dernière a alors expressément renoncé à son audition par la justice de paix en corps, de sorte que son droit d’être entendue a été respecté. La décision entreprise est donc formellement correcte et peut être examinée sur le fond. 3. La recourante a déménagé dans le canton de [...]. Son changement de domicile est toutefois intervenu le 1er avril 2016, soit postérieurement à la décision entreprise du 8 décembre 2015, de sorte que la Cour de céans demeure compétente pour statuer sur le recours. 4. La recourante affirme que la mesure de curatelle de représentation et de gestion instituée en sa faveur n’est plus nécessaire. Elle expose qu’elle a déménagé chez ses parents dans le canton de [...] et qu’elle bénéficie désormais de leur aide, en particulier de celle de sa mère, spécialiste en finances et comptabilité avec brevet fédéral, pour mettre de l’ordre dans ses affaires.</w:t>
      </w:r>
    </w:p>
    <w:p>
      <w:r>
        <w:t>- 9 - 4.1 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La loi prévoit ainsi trois causes alternatives, à savoir la déficience mentale, les troubles psychiques ou tout autre état de faiblesse qui affecte la condition de la personne concernée. En particulier, l'expression "troubles psychiques", qui doit être comprise dans son acception large (Meier/Lukic, op. cit., nn. 398 et 401, pp. 190 ss),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et la pharmacodépendance (Meier, in Commentaire du droit de la famille [CommFam], Protection de l’adulte, Berne 2013, nn. 9 ss ad art. 390 CC, p. 385 ; Meier/Lukic, op. cit., nn. 400 ss, p. 191 ; Guide pratique COPMA, n. 5.9, p. 37). Quant à l’état de faiblesse, il s’agit d’une formulation large, qui permet d’englober tous les handicaps physiques, les déficiences liées à l’âge et les cas extrêmes d’inexpérience ou de mauvaise gestion (Meier/Lukic, op. cit., n. 404, p. 192). La notion de faiblesse doit plutôt se fonder sur l’origine même de la faiblesse de l’intéressé que résulter des circonstances extérieures (Meier, CommFam, n. 16 ad art. 390 CC, p. 387).</w:t>
      </w:r>
    </w:p>
    <w:p>
      <w:r>
        <w:t>- 10 -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 Guide pratique COPMA, n. 5.10, p. 138). 4.2 Selon l’art. 393 al. 1 CC, une curatelle d’accompagnement est instituée, avec le consentement de la personne qui a besoin d’aide, lorsque celle-ci doit être assistée pour accomplir certains actes. Inspirée de la curatelle volontaire de l’ancien droit (art. 394 aCC ; Message du 28 juin 2006 concernant la révision du Code civil suisse [Protection des personnes, droit des personnes et droit de la filiation], Feuille fédérale [FF] 2006, pp. 6635 ss, spéc. p. 6678), elle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 Meier, CommFam, nn. 17, 18, 20 ad art. 393 CC, pp. 428 ss). Une curatelle de représentation est instituée lorsque la personne qui a besoin d’aide ne peut accomplir certains actes et doit de</w:t>
      </w:r>
    </w:p>
    <w:p>
      <w:r>
        <w:t>- 11 - ce fait être représentée (art. 394 al. 1 CC).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Meier/Lukic, op. cit., n. 463, p. 216). Lorsque l’autorité de protection de l’adulte institue une curatelle de représentation ayant pour objet la gestion du patrimoine, elle détermine les biens sur lesquels portent les pouvoirs du curateur (art. 395 al. 1 CC). Elle peut soumettre à la gestion tout ou partie des revenus ou de la fortune, ou l’ensemble des biens. La curatelle de gestion constitue une forme spéciale de curatelle de représentation et non une mesure de protection distincte (Meier/Lukic, op. cit., n. 460, p. 215) ; les conditions d’institution sont d'ailleurs les mêmes.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s.,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Lorsqu’elle détermine les biens sur lesquels portent les pouvoirs du curateur, l’autorité de protection doit tenir compte des besoins de la personne concernée, en application du principe général de l’art. 391 al. 1 CC (TF 5A_540/2013 du 3 décembre 2013 consid. 5.1.1).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w:t>
      </w:r>
    </w:p>
    <w:p>
      <w:r>
        <w:t>- 12 -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(ATF 140 III 49 consid. 4.3, JdT 2014 II 331).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consid. 6.1 et 6.2 ; Guide pratique COPMA,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ibidem).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w:t>
      </w:r>
    </w:p>
    <w:p>
      <w:r>
        <w:t>- 13 - prononcée prioritairement (TF 5A_795/2014 du 14 avril 2015 consid. 4.3.1). 4.3 En l’espèce, il ressort du dossier que la recourante souffre d’un trouble de la personnalité avec des fluctuations de l’humeur sur un mode « labile », qu’actuellement ce trouble ne nécessite pas de traitement médicamenteux et que ses compétences intellectuelles sont « moyen faible ». Les médecins considèrent qu’elle a la capacité de discernement pour la gestion de ses affaires, mais relèvent qu’elle a un fonctionnement de personnalité pathologique, avec notamment des traits dépendants, pouvant l’amener à opter pour des solutions en sa défaveur au bénéfice des besoins d’autres personnes. La recourante a elle-même reconnu avoir besoin d’aide, notamment pour ses affaires administratives. La situation de la recourante semble toutefois s’être clarifiée et améliorée. En effet, selon ses dires, elle bénéficie désormais d’un logement stable chez ses parents et sa mère s’occupe de ses affaires administratives. En outre, dans ses déterminations du 19 mai 2016, l’OCTP relève que le déménagement de la recourante dans le canton de [...] semble « être le résultat ou l’effet d’une volonté collective et familiale d’assainir la situation administrative et sociale de Mme S.________ ». Le curateur se déclare du reste favorable à une levée de la mesure de protection et a d’ores et déjà sollicité un transfert de for auprès de la justice de paix. Il résulte de ce qui précède qu’il convient d'annuler la décision entreprise et de renvoyer la cause à l'autorité de protection pour qu’elle procède à une instruction et détermine si une mesure d’accompagnement est nécessaire, après interpellation de la mère de la recourante. 5. En conclusion, le recours interjeté par S.________ doit être admis et la décision entreprise annulée, la cause étant renvoyée à l’autorité de première instance pour nouvelle décision dans le sens des considérants.</w:t>
      </w:r>
    </w:p>
    <w:p>
      <w:r>
        <w:t>- 14 - Le présent arrêt peut être rendu sans frais judiciaires (art. 74a al. 4 TFJC [Tarif du 28 septembre 2010 des frais judiciaires civils ; RSV 270.11.5]). Par ces motifs, la Chambre des curatelles du Tribunal cantonal, statuant à huis clos, prononce : I. Le recours est admis. II. La décision est annulée et la cause est renvoyée à la Justice de paix du district de Lausanne pour nouvelle décision dans le sens des considérants. III. L’arrêt est rendu sans frais judiciaires de deuxième instance. IV. L'arrêt motivé est exécutoire. La présidente : La greffière : Du 1er juin 2016 Le dispositif de l'arrêt qui précède est communiqué par écrit aux intéressés. La greffière :</w:t>
      </w:r>
    </w:p>
    <w:p>
      <w:r>
        <w:t>- 15 - Du L'arrêt qui précède, dont la rédaction a été approuvée à huis clos, est notifié à : - Mme S.________, - M. D.________, assistant social auprès de l’Office des curatelles et tutelles professionnelles,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