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OC16.000889 vom 11. April 2016</w:t>
      </w:r>
    </w:p>
    <w:p>
      <w:r>
        <w:t>VD Tribunal cantonal, 2016-04-11, FR</w:t>
      </w:r>
    </w:p>
    <w:p>
      <w:r>
        <w:rPr>
          <w:b/>
        </w:rPr>
        <w:t xml:space="preserve">Quelle: </w:t>
      </w:r>
      <w:r>
        <w:t>https://mcp.opencaselaw.ch/entscheid/vd_gerichte_OC16.000889</w:t>
      </w:r>
    </w:p>
    <w:p>
      <w:r>
        <w:t>FR: VD_GERICHTE OC16.000889 du 11 avril 2016</w:t>
      </w:r>
    </w:p>
    <w:p>
      <w:r>
        <w:t>IT: VD_GERICHTE OC16.000889 del 11 aprile 2016</w:t>
      </w:r>
    </w:p>
    <w:p>
      <w:pPr>
        <w:pStyle w:val="Heading2"/>
      </w:pPr>
      <w:r>
        <w:t>Erwägungen</w:t>
      </w:r>
    </w:p>
    <w:p>
      <w:r>
        <w:rPr>
          <w:b/>
        </w:rPr>
        <w:t>E. 6.1</w:t>
      </w:r>
    </w:p>
    <w:p>
      <w:r>
        <w:t>Le recours de P.________ doit donc être admis, la décision entreprise réformée en ce sens qu’une curatelle de représentation et de gestion avec privation de la faculté d’accéder à ses biens au sens des art. 394 al. 1 et 395 al. 1 et 3 CC est instituée en faveur de P.________ (II), que P.________ est privée d’accès à tous les comptes bancaires ouverts à son nom auprès de l’UBS SA, ainsi que des cartes de crédit octroyées à la prénommée (III), les tâches qu’exercera de la curatrices sont les suivantes : dans le cadre de la curatelle de représentation : représenter P.________ dans ses rapports avec les tiers, en particulier en matière de logement, santé, affaires sociales, administration, affaires juridiques et sauvegarder au mieux ses intérêts (art. 394 al. 1 CC) et suivre P.________ dans sa problématique de santé et l’appuyer, le moment venu, dans sa recherche d’une formation ou place de travail ; dans le cadre de la curatelle de gestion : veiller à la gestion des revenus et de la fortune de P.________, administrer ses biens avec diligence et accomplir les actes juridiques liés à leur gestion (art. 395 al. 1 et 408 al. 1 CC) et représenter, si nécessaire, P.________ pour ses besoins ordinaires (art. 408 al. 2 ch. 3 CC) (V), le chiffre VII est supprimé et la décision est confirmée pour le surplus.</w:t>
      </w:r>
    </w:p>
    <w:p>
      <w:r>
        <w:rPr>
          <w:b/>
        </w:rPr>
        <w:t>E. 6.2</w:t>
      </w:r>
    </w:p>
    <w:p>
      <w:r>
        <w:t>Le présent arrêt peut être rendu sans frais (art. 74a al. 4 TFJC [tarif du 28 septembre 2010 des frais judiciaires civils ; RSV 270.11.5]). Par ces motifs, la Chambre des curatelles du Tribunal cantonal, statuant à huis clos, prononce : I. Le recours est admis.</w:t>
      </w:r>
    </w:p>
    <w:p>
      <w:r>
        <w:t>- 22 - II. La décision est réformée aux chiffres II, III, V et VII de son dispositif comme il suit : II. institue une curatelle de représentation et de gestion avec privation de la faculté d’accéder à ses biens au sens des art. 394 al. 1 et 395 al. 1 et 3 CC en faveur de P.________, née le [...] 1991, fille de A.B.________ et de B.B.________, originaire de [...], célibataire, domiciliée au Chemin de [...], [...] ; III. dit que P.________ est privée d’accès à tous les comptes bancaires ouverts au nom de P.________ auprès de l’UBS SA, ainsi que des cartes de crédit octroyées à la prénommée ; V. dit que la curatrice exercera les tâches suivantes : dans le cadre de la curatelle de représentation : - représenter P.________ dans ses rapports avec les tiers, en particulier en matière de logement, santé, affaires sociales, administration, affaires juridiques et sauvegarder au mieux ses intérêts (art. 394 al. 1 CC) ; - suivre P.________ dans sa problématique de santé et l’appuyer, le moment venu, dans sa recherche d’une formation ou place de travail ; dans le cadre de la curatelle de gestion : - veiller à la gestion des revenus et de la fortune de P.________, administrer ses biens avec diligence et accomplir les actes juridiques liés à leur gestion (art. 395 al. 1 et 408 al. 1 CC) ; - représenter, si nécessaire, P.________ pour ses besoins ordinaires (art. 408 al. 2 ch. 3 CC). VII. Supprimé. Elle est confirmée pour le surplus. III. L’arrêt est rendu sans frais judiciaires de deuxième instance. IV. L’arrêt motivé est exécutoire. La présidente : La greffière : Du 14 avril 2016</w:t>
      </w:r>
    </w:p>
    <w:p>
      <w:r>
        <w:t>- 23 - Le dispositif de l'arrêt qui précède est communiqué par écrit aux intéressés. La greffière : Du L'arrêt qui précède, dont la rédaction a été approuvée à huis clos, est notifié à : - Mme P.________, personnellement, - Mme S.________, assistante sociale auprès de l’Office des curatelles et tutelles professionnelles, et communiqué à : - Mme et M. B.B.________ et A.B.________, personnellement, - Justice de paix du district de la Riviera – Pays 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