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OC15.042264 vom 18. Dezember 2015</w:t>
      </w:r>
    </w:p>
    <w:p>
      <w:r>
        <w:t>VD Tribunal cantonal, 2015-12-18, FR</w:t>
      </w:r>
    </w:p>
    <w:p>
      <w:r>
        <w:rPr>
          <w:b/>
        </w:rPr>
        <w:t xml:space="preserve">Quelle: </w:t>
      </w:r>
      <w:r>
        <w:t>https://mcp.opencaselaw.ch/entscheid/vd_gerichte_OC15.042264</w:t>
      </w:r>
    </w:p>
    <w:p>
      <w:r>
        <w:t>FR: VD_GERICHTE OC15.042264 du 18 décembre 2015</w:t>
      </w:r>
    </w:p>
    <w:p>
      <w:r>
        <w:t>IT: VD_GERICHTE OC15.042264 del 18 dicembre 2015</w:t>
      </w:r>
    </w:p>
    <w:p>
      <w:pPr>
        <w:pStyle w:val="Heading2"/>
      </w:pPr>
      <w:r>
        <w:t>Erwägungen</w:t>
      </w:r>
    </w:p>
    <w:p>
      <w:r>
        <w:rPr>
          <w:b/>
        </w:rPr>
        <w:t>E. 1</w:t>
      </w:r>
    </w:p>
    <w:p>
      <w:r>
        <w:t>Le recours est dirigé contre une décision de la justice de paix nommant une curatrice professionnelle de l’OCTP en qualité de curatrice au sens des art. 394 al. 1 et 395 al. 1 CC d’T.________.</w:t>
      </w:r>
    </w:p>
    <w:p>
      <w:r>
        <w:rPr>
          <w:b/>
        </w:rPr>
        <w:t>E. 1.1</w:t>
      </w:r>
    </w:p>
    <w:p>
      <w:r>
        <w:t>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w:t>
      </w:r>
    </w:p>
    <w:p>
      <w:r>
        <w:t>En l’espèce, le recours, motivé en temps utile par la curatrice désignée, est recevable. L’autorité de protection a été consultée, conformément à l’art. 450d al. 1 CC.</w:t>
      </w:r>
    </w:p>
    <w:p>
      <w:r>
        <w:rPr>
          <w:b/>
        </w:rPr>
        <w:t>E. 2</w:t>
      </w:r>
    </w:p>
    <w:p>
      <w:r>
        <w:t>CC). En outre, le recours doit être dûment motivé et interjeté par écrit (art. 450 al. 3 CC), les exigences de motivation ne devant cependant pas</w:t>
      </w:r>
    </w:p>
    <w:p>
      <w:r>
        <w:t>- 7 - être trop élevées (Steck, Basler Kommentar, ZGB I, 5ème éd., Bâle 2014,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En matière de protection de l’adulte et de l’enfant, la maxime inquisitoire illimitée est applicable (cf. JdT 2011 III 43 ; CCUR 28 février 2013/56).</w:t>
      </w:r>
    </w:p>
    <w:p>
      <w:r>
        <w:rPr>
          <w:b/>
        </w:rPr>
        <w:t>E. 2.1</w:t>
      </w:r>
    </w:p>
    <w:p>
      <w:r>
        <w:t>La recourante refuse sa désignation en qualité de curatrice, faisant valoir que la situation de la personne concernée ne peut pas être considérée comme un cas lourd à confier à un curateur professionnel.</w:t>
      </w:r>
    </w:p>
    <w:p>
      <w:r>
        <w:rPr>
          <w:b/>
        </w:rPr>
        <w:t>E. 2.2</w:t>
      </w:r>
    </w:p>
    <w:p>
      <w:r>
        <w:t>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curateur doit posséder les aptitudes et connaissances nécessaires aux tâches prévues, c’est-à-dire les qualités personnelles et relationnelles ainsi que les compétences professionnelles requises pour les accomplir, l’autorité de protection étant</w:t>
      </w:r>
    </w:p>
    <w:p>
      <w:r>
        <w:t>- 8 - tenue de vérifier d’office que cette condition est réalisée (TF 5A_691/2013 du 14 janvier 2014 consid. 2.3.2 et réf. citées). Selon le Message du Conseil fédéral concernant la révision du Code civil suisse, « le critère déterminant pour la nomination d’une personne est son aptitude à accomplir les tâches qui lui seront confiées ». Le message ajoute plus loin « qu’il convient de relever que la complexité de certaines tâches limite le recours à des non-professionnels, même si ceux-ci sont bien préparés et conseillés durant l’exercice de leur mandat » (Message du 28 juin 2006 concernant la révision du Code civil suisse [Protection des personnes, droit des personnes, et droit de la filiation] ; FF 2006 pp. 6635 ss, spéc. p. 6683). La doctrine ne remet ainsi pas en discussion l’intervention de curateurs privés (cf. Reusser, Basler Kommentar, op. cit., nn. 14 ss ad art. 400 CC, p. 2241 ; Häfeli, Commentaire du droit de la famille, Protection de l’adulte, Berne 2013, n.</w:t>
      </w:r>
    </w:p>
    <w:p>
      <w:r>
        <w:rPr>
          <w:b/>
        </w:rPr>
        <w:t>E. 2.3</w:t>
      </w:r>
    </w:p>
    <w:p>
      <w:r>
        <w:t>En l’espèce, contrairement aux affirmations de la recourante, le fait que la personne concernée ait fait spontanément une demande de mesure de protection et qu’elle l’accepte n’est pas décisif pour considérer aujourd’hui qu’il ne s’agit pas d’un cas lourd. Sur la base des éléments au dossier, il n’est pas possible d’imposer à un curateur privé une curatelle dont les opérations consistent à trouver un nouveau logement, assurer le suivi administratif complet de l’intéressé, intervenir auprès de la personne concernée pour qu’elle se rende aux rendez-vous en lien avec ses troubles psychiques affectifs et anxieux, assurer le lien avec un réseau qui semble relativement important. Ces démarches dépassent ce qu’on peut exiger aujourd’hui d’un curateur privé, d’autant que le soutien du CSR s’est avéré insuffisant et que selon la Dresse [...], si T.________ travaille à s’inscrire dans une vie active professionnelle et sociale, les difficultés de celui-ci pourraient resurgir dans un proche avenir. Ainsi, le prénommé nécessite actuellement une assistance tant sur le plan administratif que personnel et c’est à juste titre que les premiers juges ont considéré que la difficulté du mandat dépassait les compétences d’un curateur privé et qu’il convenait de confier cette curatelle à l’OCTP. Cela étant, si la situation devait se stabiliser, il n’apparaît pas exclu que la personne concernée ait uniquement besoin d’une aide administrative relativement simple qui pourrait être assumée par un curateur privé. 3. En conclusion, le recours doit être rejeté et la décision entreprise confirmée.</w:t>
      </w:r>
    </w:p>
    <w:p>
      <w:r>
        <w:t>- 11 -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Le greffier : Du</w:t>
      </w:r>
    </w:p>
    <w:p>
      <w:r>
        <w:t>- 12 - L'arrêt qui précède, dont la rédaction a été approuvée à huis clos, est notifié à : - Mme R.________, Offices des curatelles et tutelles professionnelles, - M. T.________, et communiqué à : - Justice de paix du district du Jura – Nord vaudois et du Gros-de-Vaud,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w:t>
      </w:r>
    </w:p>
    <w:p>
      <w:r>
        <w:rPr>
          <w:b/>
        </w:rPr>
        <w:t>E. 7</w:t>
      </w:r>
    </w:p>
    <w:p>
      <w:r>
        <w:t>ad art. 400 CC, pp. 507 ss ; Meier/Lukic, Introduction au nouveau droit de la protection de l’adulte, 2011, n. 541 et les notes de bas de page 643 ss, p. 246). Si la loi ne consacre pas de hiérarchie entre les différentes catégories de curateurs (FF 2006 p. 6683 ch. 2.2.5) – plusieurs dispositions étant toutefois destinées au curateur professionnel (cf. art. 404 aI. 1 2ème phr., 421 ch. 3, 424 2ème phr. et 425 al. 1 2ème phr. CC) – cela ne signifie pas qu’un curateur privé pourrait être investi de n’importe quelle mesure de protection. Comme l’observe le Conseil fédéral, la complexité de certaines tâches limite le recours à des non-professionnels (loc. cit.). Ces considérations ne sont pas étrangères à l’art. 40 al. 4 LVPAE (TF 5A_699/2013 du 29 novembre 2014 consid. 4.1). L'art. 40 LVPAE prévoit une distinction entre les mandats de protection pouvant être confiés à des curateurs ou tuteurs privés (al. 1, cas « simples » « légers ») et ceux pouvant être attribués à l'entité de curateurs et tuteurs professionnels (al. 4, cas « lourds »). Selon l'art. 40 al. 1 LVPAE, sont en principe confiés à un tuteur/curateur privé les mandats de protection pour lesquels une personne respectant les conditions légales de nomination se propose</w:t>
      </w:r>
    </w:p>
    <w:p>
      <w:r>
        <w:t>- 9 -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"en principe" tant à l'alinéa 1 qu'à l'alinéa 4 de l'art. 40 LVPAE témoigne de la volonté du législateur de</w:t>
      </w:r>
    </w:p>
    <w:p>
      <w:r>
        <w:t>- 10 - laisser une marge d'appréciation à l'autorité de protection quant à la distinction entre les cas simples et les cas lourds. A ce qui précède, il y a lieu d’ajouter que le Tribunal fédéral a rappelé qu’en cas de troubles de la personnalité, une curatelle professionnelle pouvait se justifier (TF 5A_699/2013 du 29 novembre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