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OC15.031850 vom 15. August 2016</w:t>
      </w:r>
    </w:p>
    <w:p>
      <w:r>
        <w:t>VD Tribunal cantonal, 2016-08-15, FR</w:t>
      </w:r>
    </w:p>
    <w:p>
      <w:r>
        <w:rPr>
          <w:b/>
        </w:rPr>
        <w:t xml:space="preserve">Quelle: </w:t>
      </w:r>
      <w:r>
        <w:t>https://mcp.opencaselaw.ch/entscheid/vd_gerichte_OC15.031850</w:t>
      </w:r>
    </w:p>
    <w:p>
      <w:r>
        <w:t>FR: VD_GERICHTE OC15.031850 du 15 août 2016</w:t>
      </w:r>
    </w:p>
    <w:p>
      <w:r>
        <w:t>IT: VD_GERICHTE OC15.031850 del 15 agosto 2016</w:t>
      </w:r>
    </w:p>
    <w:p>
      <w:pPr>
        <w:pStyle w:val="Heading2"/>
      </w:pPr>
      <w:r>
        <w:t>Erwägungen</w:t>
      </w:r>
    </w:p>
    <w:p>
      <w:r>
        <w:rPr>
          <w:b/>
        </w:rPr>
        <w:t>E. 1.1</w:t>
      </w:r>
    </w:p>
    <w:p>
      <w:r>
        <w:t>Le recours est dirigé contre une décision de la justice de paix relevant le curateur de son mandat et en nommant un nouveau en application des art. 400 et 423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w:t>
      </w:r>
    </w:p>
    <w:p>
      <w:r>
        <w:t>- 7 -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2640).</w:t>
      </w:r>
    </w:p>
    <w:p>
      <w:r>
        <w:rPr>
          <w:b/>
        </w:rPr>
        <w:t>E. 1.3</w:t>
      </w:r>
    </w:p>
    <w:p>
      <w:r>
        <w:t>En l’espèce, interjeté en temps utile par la curatrice de la personne concernée, partie à la procédure, le présent recours est</w:t>
      </w:r>
    </w:p>
    <w:p>
      <w:r>
        <w:t>- 8 - recevable. Il en va de même des pièces produites en deuxième instance, si tant est qu’elles ne figurent pas déjà au dossier. Le recours étant manifestement mal fondé, au vu des considérations développées ci-après, la Chambre des curatelles a renoncé à consulter l'autorité de protection de l'adulte. Vu l’issue du recours, la requête de restitution de l’effet suspensif de la recourante n’a pas d’objet.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2.3</w:t>
      </w:r>
    </w:p>
    <w:p>
      <w:r>
        <w:t>En l’espèce, la décision querellée a été prise par la Justice de paix du district de Lausanne, compétente en tant qu’autorité de protection</w:t>
      </w:r>
    </w:p>
    <w:p>
      <w:r>
        <w:t>- 9 - du domicile de la personne concernée (art. 442 al. 1 CC). Cette autorité a procédé à l’audition de la personne concernée et de la recourante lors de son audience du 15 juin 2016. Le droit d’être entendu des parties a été respecté. La décision entreprise est donc formellement correcte et peut être examinée sur le fond.</w:t>
      </w:r>
    </w:p>
    <w:p>
      <w:r>
        <w:rPr>
          <w:b/>
        </w:rPr>
        <w:t>E. 2.3.2</w:t>
      </w:r>
    </w:p>
    <w:p>
      <w:r>
        <w:t>; ATF 133 I 201 consid. 2.2 ; ATF 129 I 129 consid. 2.2.3 ; CCUR 28 février 2013/56). La procédure de recours en matière de protection de l’adulte ne prévoit aucune obligation pour l’autorité de recours de tenir une audience. L’art. 450f CC renvoie d’ailleurs à la procédure civile, soit à l’art. 316 al. 1 CPC, disposition qui n’impose pas les débats en deuxième instance (ATF 139 III 257 a contrario ; Jeandin, CPC commenté, Bâle 2011, n. 1 ss ad art. 316 CPC, p. 1262 ss).</w:t>
      </w:r>
    </w:p>
    <w:p>
      <w:r>
        <w:rPr>
          <w:b/>
        </w:rPr>
        <w:t>E. 3.1</w:t>
      </w:r>
    </w:p>
    <w:p>
      <w:r>
        <w:t>A titre de mesure d’instruction, la recourante requiert l’audition de la personne concernée, ainsi que du nouveau prestataire de soins.</w:t>
      </w:r>
    </w:p>
    <w:p>
      <w:r>
        <w:rPr>
          <w:b/>
        </w:rPr>
        <w:t>E. 3.2</w:t>
      </w:r>
    </w:p>
    <w:p>
      <w:r>
        <w:t>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5A_680/2014 du 21 novembre 2014 consid. 4.1 et les références citées). Ce droit ne s’étend toutefois qu’aux éléments pertinents pour décider de l’issue du litige (ATF 130 II 425 consid. 2.1 ; ATF 129 II 497 consid. 2.2). Le droit d’être entendu ne garantit pas le droit de s’exprimer oralement (ATF 125 I 209 consid. 9b ; TF 5A_916/2012 du 12 février 2013 consid. 3.1). Par exception, une</w:t>
      </w:r>
    </w:p>
    <w:p>
      <w:r>
        <w:t>- 10 - violation du droit d’être entendu, pour autant qu’elle ne soit pas particulièrement grave, peut être réparée lorsque l’intéressé a la possibilité de s’exprimer devant une autorité de recours disposant du même pouvoir d’examen que l’autorité inférieure (ATF 137 I 195 consid.</w:t>
      </w:r>
    </w:p>
    <w:p>
      <w:r>
        <w:rPr>
          <w:b/>
        </w:rPr>
        <w:t>E. 3.3</w:t>
      </w:r>
    </w:p>
    <w:p>
      <w:r>
        <w:t>En l’espèce, il résulte de l’examen du dossier que la personne concernée a été entendue par l’autorité de protection avant qu’elle ne rende la décision querellée. La recourante a pu faire valoir l’ensemble de ses moyens dans le cadre de son recours et n’expose pas pour quels motifs il faudrait procéder à une nouvelle audition des parties. Il serait du reste contraire aux intérêts de la personne concernée, sinon choquant, d’exiger d’une dame de 98 ans qu’elle se déplace à nouveau pour prendre position dans un conflit qui ne peut que lui nuire. Au surplus, la requête d’audition du nouveau prestataire de soins est rejetée, vu les motifs ci- dessous.</w:t>
      </w:r>
    </w:p>
    <w:p>
      <w:r>
        <w:rPr>
          <w:b/>
        </w:rPr>
        <w:t>E. 4.1</w:t>
      </w:r>
    </w:p>
    <w:p>
      <w:r>
        <w:t>La recourante soutient qu’elle a été contrainte de protéger les intérêts de la personne concernée confrontée au manque de professionnalisme des membres du réseau. Elle reproche en particulier au médecin traitant de la personne concernée sa double casquette en raison de ses liens avec le CMS [...], dont il serait le fondateur. Elle fait également valoir l’insuffisance des prestations offertes par le CMS qui l’a motivée à changer de prestataire de soin.</w:t>
      </w:r>
    </w:p>
    <w:p>
      <w:r>
        <w:t>- 11 -</w:t>
      </w:r>
    </w:p>
    <w:p>
      <w:r>
        <w:rPr>
          <w:b/>
        </w:rPr>
        <w:t>E. 4.2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Basler Kommentar, op. cit., n. 24 ad art. 421-424 CC, p. 2397). De manière générale, la perte de confiance de la personne concernée en son curateur, des conflits ou une relation irrémédiablement détruite peuvent constituer un juste motif de libération (Vogel, op. cit., n. 26 ad art. 421-424 CC, p. 2397).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17 juin 2015/135 consid. 2a). Selon la doctrine, cette condition pouvait résulter de différentes causes, telles l'incapacité, l'âge ou la maladie, une absence temporaire ou un changement de domicile, une surcharge professionnelle ou familiale (Egger, Zürcher Kommentar, n. 6 ad art. 445 CC ; Geiser,</w:t>
      </w:r>
    </w:p>
    <w:p>
      <w:r>
        <w:t>- 12 - Basler Kommentar, Zivilgesetzbuch I, Art. 1-456 CC, 4e éd., Bâle 2010, n. 13 s. ad art. 445 CC, p. 2236 s.).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consid.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 intérêts du pupille l'exigeait (Geiser, op. cit., n. 13 ad art. 445 CC, p. 2236).</w:t>
      </w:r>
    </w:p>
    <w:p>
      <w:r>
        <w:rPr>
          <w:b/>
        </w:rPr>
        <w:t>E. 4.3</w:t>
      </w:r>
    </w:p>
    <w:p>
      <w:r>
        <w:t>En l’espèce, il résulte du dossier que la curatrice est en conflit avec le médecin traitant de la personne concernée, ainsi qu’avec le CMS qui est intervenu auprès de celle-ci jusqu’au 4 mai 2016. En préambule, on relève que la recourante a produit à l’appui de son recours une attestation signée par la personne concernée, laquelle s’oppose au changement de curateur et demande le maintien de la recourante comme curatrice. Cette attestation a manifestement été établie par la recourante pour être signée par la personne concernée. Dans le contexte conflictuel décrit ci-dessous, cette pièce ne peut être prise en compte ; on s’en tiendra aux déclarations de la personne concernée à l’audience de l’autorité de protection. La recourante formule de nombreux griefs au sujet des interventions du CMS. Elle a toutefois conclu un contrat avec un nouveau prestataire de soins qui est entré en fonction le 5 mai 2016, l’autorité de protection n’ayant pas formulé d’objections à ce changement. La personne concernée s’est d’ailleurs déclarée satisfaite de l’intervention du nouveau prestataire de soins, en particulier concernant les repas ; le médecin traitant a déclaré que cet organisme effectuait son travail avec compétence. On ne peut reprocher à la recourante d’avoir changé de</w:t>
      </w:r>
    </w:p>
    <w:p>
      <w:r>
        <w:t>- 13 - prestataire de soins alors que la juge de paix ne s’y est pas opposée. Il n’est en outre pas établi que ses interventions auprès du CMS étaient sur le principe contraires aux intérêts de la personne concernée. En tout état de cause, compte tenu du changement de prestataire de soins, l’existence de relations conflictuelles entre la recourante et le CMS n’est plus un élément déterminant et ce point n’a plus d’objet. Demeure le conflit entre la recourante et le médecin traitant. Il s’agit de déterminer si les intérêts de la personne concernée commandent un changement de curatrice, sans pour autant se prononcer sur les éventuels torts des intervenants ni porter un jugement de valeur sur leurs agissements. La personne concernée étant aujourd’hui âgée 98 ans, un changement de cadre n’est pas idéal ; il est toutefois important que la curatrice et le médecin traitant puissent collaborer sereinement. Le conflit existant actuellement entre ces deux intervenants ne peut que nuire à la qualité de vie de la personne concernée. Le seul fait pour elle de devoir, dans le cadre du conflit en cours, assister à l’audience de l’autorité de protection du 15 juin 2016 et aux propos qui y ont été tenus par des personnes de son entourage proche constitue un élément extrêmement négatif de ce point de vue. En outre, l’âge avancé de la personne concernée implique une relation plus étroite que d’ordinaire avec son médecin traitant. Enfin, on relève qu’il n’existe pas de relation de famille entre la recourante et la personne concernée, ni de relation d’amitié découlant d’une longue collaboration. La recourante a été nommée en qualité de curatrice il y a seulement un an. Dans l’intérêt de la personne concernée et afin de garantir un fonctionnement optimal du réseau, l’incompatibilité entre la recourante et le médecin traitant constitue un « autre juste motif » au sens de l’art. 423 al. 1 ch. 2 CC justifiant de libérer la curatrice de ses fonctions, l’intérêt de H.________ au calme l’emportant sur l’intérêt personnel de la curatrice à conserver son mandat.</w:t>
      </w:r>
    </w:p>
    <w:p>
      <w:r>
        <w:rPr>
          <w:b/>
        </w:rPr>
        <w:t>E. 5</w:t>
      </w:r>
    </w:p>
    <w:p>
      <w:r>
        <w:t>- 14 -</w:t>
      </w:r>
    </w:p>
    <w:p>
      <w:r>
        <w:rPr>
          <w:b/>
        </w:rPr>
        <w:t>E. 5.1</w:t>
      </w:r>
    </w:p>
    <w:p>
      <w:r>
        <w:t>Le recours de O.________ doit être rejeté et la décision attaquée confirmée.</w:t>
      </w:r>
    </w:p>
    <w:p>
      <w:r>
        <w:rPr>
          <w:b/>
        </w:rPr>
        <w:t>E. 5.2</w:t>
      </w:r>
    </w:p>
    <w:p>
      <w:r>
        <w:t>Les frais judiciaires de deuxième instance peuvent être fixés à 300 fr. (art. 74a al. 1 TFJC [tarif du 28 septembre 2010 des frais judiciaires civils ; RSV 270.11.5]) et doivent être mis à la charge de la recourante qui succombe (art. 106 al. 1 CPC, applicable par renvoi des art. 450f CC et 12 LVPAE). Par ces motifs, la Chambre des curatelles du Tribunal cantonal, statuant à huis clos, prononce : I. Le recours est rejeté. II. La décision est confirmée. III. Les frais judiciaires de deuxième instance, par 300 fr. (trois cents francs), sont mis à la charge de la recourante O.________. IV. L'arrêt est exécutoire. La présidente : La greffière : Du</w:t>
      </w:r>
    </w:p>
    <w:p>
      <w:r>
        <w:t>- 15 - L'arrêt qui précède, dont la rédaction a été approuvée à huis clos, est notifié à : - O.________, personnellement, - H.________, personnellement, - B.________, personnellement,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