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OC15.026067 vom 27. August 2015</w:t>
      </w:r>
    </w:p>
    <w:p>
      <w:r>
        <w:t>VD Tribunal cantonal, 2015-08-27, FR</w:t>
      </w:r>
    </w:p>
    <w:p>
      <w:r>
        <w:rPr>
          <w:b/>
        </w:rPr>
        <w:t xml:space="preserve">Quelle: </w:t>
      </w:r>
      <w:r>
        <w:t>https://mcp.opencaselaw.ch/entscheid/vd_gerichte_OC15.026067</w:t>
      </w:r>
    </w:p>
    <w:p>
      <w:r>
        <w:t>FR: VD_GERICHTE OC15.026067 du 27 août 2015</w:t>
      </w:r>
    </w:p>
    <w:p>
      <w:r>
        <w:t>IT: VD_GERICHTE OC15.026067 del 27 agosto 2015</w:t>
      </w:r>
    </w:p>
    <w:p>
      <w:pPr>
        <w:pStyle w:val="Heading2"/>
      </w:pPr>
      <w:r>
        <w:t>Erwägungen</w:t>
      </w:r>
    </w:p>
    <w:p>
      <w:r>
        <w:rPr>
          <w:b/>
        </w:rPr>
        <w:t>E. 1</w:t>
      </w:r>
    </w:p>
    <w:p>
      <w:r>
        <w:t>a) Le recours est dirigé contre une décision de la justice de paix du 1er juin 2015 instituant une mesure de curatelle de représentation et de gestion au sens des art. 394 al. 1 et 395 al. 1 CC en faveur de A.V.________ et désignant son père, B.V.________ en qualité de curateur. b) Contre une telle décision,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w:t>
      </w:r>
    </w:p>
    <w:p>
      <w:r>
        <w:t>- 6 - (art. 450b al. 1 CC). Le délai de recours n'est pas suspendu pendant les féries dans les procédures en matière de protection de l’adulte, qui ressortissent à la juridiction gracieuse à laquelle la procédure sommaire s’applique (art. 145 al. 2 let. b et 248 let. e CPC [Code de procédure civile du 19 décembre 2008, RS 272]; CCUR 3 juin 2013/123), lorsque les parties ont été rendues attentives à cette exception, conformément à l’art. 145 al.</w:t>
      </w:r>
    </w:p>
    <w:p>
      <w:r>
        <w:rPr>
          <w:b/>
        </w:rPr>
        <w:t>E. 3</w:t>
      </w:r>
    </w:p>
    <w:p>
      <w:r>
        <w:t>a) Aux termes de l’art. 334 al. 1 CPC, si le dispositif de la décision est peu clair, contradictoire ou incomplet ou qu’il ne correspond pas à la motivation, le tribunal procède, sur requête ou d’office, à l’interprétation ou à la rectification de la décision. b) En l'espèce, le dispositif envoyé aux parties le 28 août 2015 mentionne de manière erronée au chiffre II que la cause est renvoyée à la Justice de paix du district de Morges au lieu de Nyon. Dès lors que cette indication ne correspond pas à la motivation, il y a lieu de rectifier d'office ce chiffre.</w:t>
      </w:r>
    </w:p>
    <w:p>
      <w:r>
        <w:rPr>
          <w:b/>
        </w:rPr>
        <w:t>E. 4</w:t>
      </w:r>
    </w:p>
    <w:p>
      <w:r>
        <w:t>En conclusion, le recours de A.V.________ doit être admis et la décision du 1er juin 2015 annulée et la cause renvoyée à la justice de paix pour instruction et nouvelle décision dans le sens des considérants. Le présent arrêt peut être rendu sans frais (art. 74a al. 4 TFJC [tarif du 28 septembre 2010 des frais judiciaires civils, RSV 270.11.5]). Par ces motifs, la Chambre des curatelles du Tribunal cantonal, statuant à huis clos, prononce : I. Le recours est déposé par A.V.________ est admis. II. La décision est annulée et la cause est renvoyée à la Justice de paix du district de Nyon pour instruction et nouvelle décision au sens des considérants.</w:t>
      </w:r>
    </w:p>
    <w:p>
      <w:r>
        <w:t>- 11 - III. L'arrêt est rendu sans frais judiciaires. La présidente : La greffière : Du 27 août 2015 Le dispositif de l'arrêt qui précède est communiqué par écrit aux intéressés. La greffière : Du L'arrêt qui précède, dont la rédaction a été approuvée à huis clos, est notifié à : - A.V.________ personnellement, - B.V.________ personnellement,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