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OC15.000762 vom 28. Januar 2015</w:t>
      </w:r>
    </w:p>
    <w:p>
      <w:r>
        <w:t>VD Tribunal cantonal, 2015-01-28, FR</w:t>
      </w:r>
    </w:p>
    <w:p>
      <w:r>
        <w:rPr>
          <w:b/>
        </w:rPr>
        <w:t xml:space="preserve">Quelle: </w:t>
      </w:r>
      <w:r>
        <w:t>https://mcp.opencaselaw.ch/entscheid/vd_gerichte_OC15.000762</w:t>
      </w:r>
    </w:p>
    <w:p>
      <w:r>
        <w:t>FR: VD_GERICHTE OC15.000762 du 28 janvier 2015</w:t>
      </w:r>
    </w:p>
    <w:p>
      <w:r>
        <w:t>IT: VD_GERICHTE OC15.000762 del 28 gennaio 2015</w:t>
      </w:r>
    </w:p>
    <w:p>
      <w:pPr>
        <w:pStyle w:val="Heading2"/>
      </w:pPr>
      <w:r>
        <w:t>Volltext</w:t>
      </w:r>
    </w:p>
    <w:p>
      <w:r>
        <w:t>TRIBUNAL CANTONAL OC15.000762-150092 24 CHAMBRE DE S CURATELLE S ___________________________________ Arrêt du 28 janvier 2015 __________________ Composition : Mme KÜHNLEIN, présidente MM. Battistolo et Colombini, juges Greffier : Mme Rodondi ***** Art. 400, 401 et 450 CC; 40 al. 4 LVPAE La Chambre des curatelles du Tribunal cantonal prend séance pour statuer sur le recours interjeté par L.________ et J.________, toutes deux à [...], contre la décision rendue le 22 octobre 2014 par la Justice de paix du district de la Riviera-Pays-d’Enhaut dans la cause concernant J.________. Délibérant à huis clos, la cour voit : 251</w:t>
      </w:r>
    </w:p>
    <w:p>
      <w:r>
        <w:t>- 2 - En fait : A. Par décision du 22 octobre 2014, adressée pour notification le 9 janvier 2015, la Justice de paix du district de la Riviera-Pays-d’Enhaut (ci- après : justice de paix) a mis fin à l’enquête en institution d’une curatelle ouverte en faveur de J.________ (I), institué une curatelle de représentation et de gestion au sens des art. 394 al. 1 et 395 al. 1 CC (Code civil suisse du 10 décembre 1907, RS 210) en faveur de la prénommée (II), nommé E.________, curatrice professionnelle auprès de l’Office des curatelles et tutelles professionnelles (ci-après : OCTP), en qualité de curatrice et dit qu’en cas d’absence de celle-ci, ledit office assurera son remplacement en attendant son retour ou la désignation d’un nouveau curateur (III), dit que la curatrice aura pour tâches, dans le cadre de la curatelle de représentation, de représenter J.________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J.________, d’administrer ses biens avec diligence et d’accomplir les actes juridiques liés à la gestion, ainsi que de la représenter, si nécessaire, pour ses besoins ordinaires (IV), invité la curatrice à remettre au juge, dans un délai de huit semaines dès notification de la décision, un inventaire des biens de l’intéressée, accompagné d'un budget annuel, et à soumettre des comptes tous les deux ans à son approbation, avec un rapport sur son activité et sur l'évolution de la situation de J.________ (V), privé d’effet suspensif tout recours éventuel contre la décision (VI) et laissé les frais, y compris les frais du rapport médical, par 100 fr., à la charge de l’Etat (VII). En droit, les premiers juges ont constaté que J.________ souffrait d’une immaturité et d’un déficit cognitif qui étaient compatibles soit avec des séquelles psycho-infantiles soit avec une débilité légère, qu’elle était capable d’apprécier la portée de ses actes mais avait besoin d’une aide concrète dans la gestion de ses affaires administratives et financières, que sa capacité de discernement était diminuée par moments</w:t>
      </w:r>
    </w:p>
    <w:p>
      <w:r>
        <w:t>- 3 - en raison de son impulsivité et de son déficit cognitif, qu’elle présentait une certaine labilité émotionnelle, que ses relations familiales et sociales étaient complexes et que l'aide fournie par ses proches ou des services privés ou publics semblait insuffisante. Ils ont dès lors considéré qu’il se justifiait d’instituer une curatelle tenant compte de son besoin de protection et favorisant autant que possible son autonomie et qu’une curatelle de représentation et de gestion était opportune et adaptée à la situation. Ils ont estimé que, compte tenu de la complexité de la situation familiale et sociale de l’intéressée, il convenait de désigner un curateur professionnel en qualité de curateur. B. Par acte du 18 janvier 2015, L.________ et J.________ ont recouru contre cette décision en concluant implicitement à sa réforme en ce sens que L.________ est désignée en qualité de curatrice de sa fille J.________. C. La cour retient les faits suivants : Par lettre du 2 juin 2014, J.________, née le [...] 1995, a requis l’institution d’une mesure de curatelle en sa faveur. Elle a exposé qu’elle était en formation en intendance au Centre de formation du [...], dans le canton de Fribourg, qu’elle avait de la peine à gérer son salaire et à remplir ses fiches administratives, que sa mère avait peu de temps à lui consacrer pour l’aider dans ces tâches et que celles-ci étaient souvent des sujets de tensions. Par courrier du 26 juin 2014, A.________ et W.________, respectivement responsable du département socialisation et éducatrice sociale au Centre de formation professionnelle et sociale du [...], ont informé la justice de paix que J.________ rencontrait des difficultés dans la gestion de ses affaires administratives et financières. Elles ont considéré que le soutien dont elle avait besoin ne pouvait pas émaner de son contexte familial actuel et qu’il était essentiel qu’elle bénéficie d’une curatelle professionnelle. Elles ont indiqué que l’intéressée ne voulait plus</w:t>
      </w:r>
    </w:p>
    <w:p>
      <w:r>
        <w:t>- 4 - charger sa mère de cette tâche et que cette dernière avait une santé fragile qui ne lui permettait pas toujours de répondre avec efficacité aux besoins de sa fille. Le 27 août 2014, la justice de paix a procédé à l’audition de J.________, d’A.________ et de W.________. Cette dernière a expliqué que J.________ avait besoin d’aide dans la gestion de ses affaires administratives et financières, tout en relevant qu’elle était capable de gérer le reste. A.________ a quant à elle déclaré qu’il convenait de désigner un curateur professionnel en raison du contexte familial complexe et agité et que celui-ci devrait être solide et compétent afin d’entrer dans ce contexte familial compliqué. Elle a expliqué que la mère de l’intéressée vivait seule avec la petite sœur, qu’elle était atteinte dans sa santé physique (cancer de l’estomac) et qu’elle avait dû lutter pour subvenir aux besoins de sa famille. Elle a ajouté qu’il y avait parfois des crises entre elle et sa fille et qu’il était nécessaire que le curateur puisse prendre en compte l’histoire familiale pour pouvoir intervenir en faveur de J.________. Le 11 septembre 2014, H.________, psychologue au Centre de formation professionnelle et sociale du [...], a établi un rapport concernant J.________. Elle a exposé que cette dernière présentait une certaine labilité émotionnelle et pouvait se montrer enjouée et ouverte à certains moments, mais également renfermée et peu communicante à d’autres, ses états étant souvent en lien avec les variations des relations familiales ou amoureuses. Elle a déclaré qu’elle avait besoin d’aide à la fois pour ses affaires administratives et sociales. Elle a affirmé que la désignation d’un curateur professionnel serait bénéfique pour l’intéressée dans la mesure où elle avait besoin de repères clairs et surtout neutres dans une situation familiale où il existait des incompréhensions et des tensions ponctuelles. Le 16 septembre 2014, le docteur F.________, psychiatre et psychothérapeute FMH, a établi un rapport concernant J.________. Il a observé que cette dernière souffrait d’une immaturité et d’un déficit cognitif qui étaient compatibles soit avec des séquelles psycho-infantiles soit avec une débilité légère. Il a indiqué que la durée de cette affection ne</w:t>
      </w:r>
    </w:p>
    <w:p>
      <w:r>
        <w:t>- 5 - pouvait pas être prévue, mais que l’intéressée évoluait bien, faisait des progrès et avait atteint un degré de maturité nouveau par rapport au début de l’année. Il a relevé qu’elle éprouvait une difficulté manifeste en ce qui concernait la notion d’argent et avait une demande claire d’aide, à laquelle la mesure de curatelle devrait satisfaire. Il a constaté une diminution de sa capacité de discernement par moments, brouillée par son impulsivité et son déficit cognitif. Il a préconisé la nomination d’un curateur professionnel en raison de la susceptibilité à fleur de peau de l’intéressée et de sa mère. En d roit : 1. Le recours est dirigé contre une décision de la justice de paix nommant une curatrice professionnelle de l’OCTP en qualité de curatrice au sens des art. 394 al. 1 et 395 al. 1 CC de J.________.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w:t>
      </w:r>
    </w:p>
    <w:p>
      <w:r>
        <w:t>- 6 - position (al. 1), cette autorité pouvant, au lieu de prendre position, reconsidérer sa décision (al. 2). b) En l’espèce, interjeté en temps utile par la personne concernée et sa mère, à qui la qualité de proche doit être reconnue, le présent recours est recevable. Le recours étant manifestement mal fondé au vu des considérations qui seront développées ci-après, il a été renoncé à consulter l'autorité de protection (cf. art. 450d al. 1 CC). 2. Les recourantes ne remettent pas en cause le principe de la mesure mais souhaitent que la mère de l’intéressée soit désignée en qualité de curatrice. Elles font valoir que L.________ a eu l’autorité parentale jusqu’à la majorité de sa fille, que cette dernière vit avec elle et qu’elle souhaite la désignation de sa mère comme curatrice. a)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Le critère déterminant pour la nomination d’une personne est son aptitude à effectuer les tâches qui lui seront confiées (Message du Conseil fédéral du 28 juin 2006 concernant la révision du Code civil suisse [Protection des personnes, droit des personnes, et droit de la filiation], FF 2006 p. 6683 ad art. 400 CC).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w:t>
      </w:r>
    </w:p>
    <w:p>
      <w:r>
        <w:t>- 7 -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(Droit de la protection de l’adulte, Guide pratique COPMA, n. 6.21, p. 186; Meier/Lukic, Introduction au nouveau droit de protection de l’adulte, 2011, n. 546, p. 249). L'art. 40 LVPAE prévoit une distinction entre les mandats de protection pouvant être confiés à des curateurs ou tuteurs privés (al. 1, «cas simples» ou «cas légers») et ceux pouvant être attribués à l'entité de curateurs et tuteurs professionnels (al. 4, «cas lourds»). Selon l'art. 40 al. 1 LVPAE, sont en principe confiés à un tuteur/curateur privé les mandats de protection pour lesquels une personne respectant les conditions légales de nomination se propose volontairement ou accepte sa désignation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tout autre problème de</w:t>
      </w:r>
    </w:p>
    <w:p>
      <w:r>
        <w:t>- 8 - dépendance non stabilisé ou dont la médication ou la thérapie prescrite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 VD], décembre 2010, n. 361, ch. 5.1, commentaire introductif ad art. 97a al. 2 LVCC, p. 10, auquel renvoie l'EMPL de la loi vaudoise d'application du droit fédéral de la protection de l'adulte et de l'enfant, novembre 2011, no 441, p. 109). L'utilisation des termes «en principe» tant à l'alinéa 1 qu'à l'alinéa 4 de l'art. 40 LVPAE témoigne de la volonté du législateur de laisser une marge d'appréciation à l'autorité de protection quant à la distinction entre les cas simples et les cas lourds. b) En l’espèce, il ressort du dossier que J.________ souffre d’une immaturité et d’un déficit cognitif qui sont compatibles soit avec des séquelles psycho-infantiles soit avec une débilité légère. Sa capacité de discernement est également diminuée par moments, brouillée par son impulsivité et son déficit cognitif. En outre, elle présente une certaine labilité émotionnelle et peut se montrer enjouée et ouverte à certains moments, mais renfermée et peu communicante à d’autres, ses états étant souvent en lien avec les variations des relations familiales et amoureuses. Il résulte de ce qui précède que, même si l’évolution de J.________ est favorable, il s’agit d’un cas lourd au sens de l’art. 40 al. 4</w:t>
      </w:r>
    </w:p>
    <w:p>
      <w:r>
        <w:t>- 9 - LVPAE, à confier à un curateur professionnel. Certes des exceptions sont possibles lorsqu’un curateur privé pourrait créer mieux qu’un curateur professionnel les liens de confiance nécessaires à une saine administration de la curatelle (CCUR 5 juin 2014/125). Dans le cas particulier, il ressort toutefois de l’avis des professionnels que J.________, qui a une susceptibilité à fleur de peau, a besoin de repères neutres dans une situation familiale où il existe des incompréhensions et des tensions ponctuelles. Le contexte familial est compliqué et agité et il y a parfois des crises entre les recourantes. En outre, la mère a une santé fragile qui ne lui permet pas toujours de répondre avec efficacité aux besoins de sa fille. Il est ainsi dans l’intérêt de cette dernière qu’un curateur tiers, extérieur à la famille, lui soit désigné et que celui-ci soit, en l’état, un curateur professionnel. 3. En conclusion, le recours interjeté par L.________ et J.________ doit être rejeté et la décision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w:t>
      </w:r>
    </w:p>
    <w:p>
      <w:r>
        <w:t>- 10 - IV. L'arrêt motivé est exécutoire. La présidente : La greffière : Du 28 janvier 2015 Le dispositif de l'arrêt qui précède est communiqué par écrit aux intéressés. La greffière : Du L'arrêt qui précède, dont la rédaction a été approuvée à huis clos, est notifié à : - Mme L.________, - Mme J.________, - Mme E.________, Office des curatelles et tutelles professionnelles, et communiqué à : - Justice de paix du district de la Riviera-Pays-d’Enhaut, par l'envoi de photocopies. Le présent arrêt peut faire l'objet d'un recours en matière civile devant le Tribunal fédéral au sens des art. 72 ss LTF (loi du 17 juin</w:t>
      </w:r>
    </w:p>
    <w:p>
      <w:r>
        <w:t>- 11 - 2005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