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OC14.025770 vom 25. September 2014</w:t>
      </w:r>
    </w:p>
    <w:p>
      <w:r>
        <w:t>VD Tribunal cantonal, 2014-09-25, FR</w:t>
      </w:r>
    </w:p>
    <w:p>
      <w:r>
        <w:rPr>
          <w:b/>
        </w:rPr>
        <w:t xml:space="preserve">Quelle: </w:t>
      </w:r>
      <w:r>
        <w:t>https://mcp.opencaselaw.ch/entscheid/vd_gerichte_OC14.025770</w:t>
      </w:r>
    </w:p>
    <w:p>
      <w:r>
        <w:t>FR: VD_GERICHTE OC14.025770 du 25 septembre 2014</w:t>
      </w:r>
    </w:p>
    <w:p>
      <w:r>
        <w:t>IT: VD_GERICHTE OC14.025770 del 25 settembre 2014</w:t>
      </w:r>
    </w:p>
    <w:p>
      <w:pPr>
        <w:pStyle w:val="Heading2"/>
      </w:pPr>
      <w:r>
        <w:t>Erwägungen</w:t>
      </w:r>
    </w:p>
    <w:p>
      <w:r>
        <w:rPr>
          <w:b/>
        </w:rPr>
        <w:t>E. 1</w:t>
      </w:r>
    </w:p>
    <w:p>
      <w:r>
        <w:t>et 395 al. 1 CC de B.O.________.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w:t>
      </w:r>
    </w:p>
    <w:p>
      <w:r>
        <w:t>- 7 -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b)Interjeté en temps utile par le fils de la personne concernée qui s’occupait jusqu’alors de la gestion des affaires de sa mère, à qui la qualité de proche doit être reconnue, le présent recours est recevable. Les pièces produites en deuxième instance sont également recevables. L’autorité de protection a été consultée conformément à l’art. 450d CC.</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w:t>
      </w:r>
    </w:p>
    <w:p>
      <w:r>
        <w:t>- 8 - prendre position (al. 1), cette autorité pouvant, au lieu de prendre position, reconsidérer sa décision (al. 2).</w:t>
      </w:r>
    </w:p>
    <w:p>
      <w:r>
        <w:rPr>
          <w:b/>
        </w:rPr>
        <w:t>E. 3</w:t>
      </w:r>
    </w:p>
    <w:p>
      <w:r>
        <w:t>Le recourant, fils de la personne concernée, souhaite être désigné en qualité de curateur de sa mère, faisant valoir en substance que rien ne peut lui être reproché dans la gestion des affaires de sa mère qu’il a assumée depuis le décès de son père, que le manque temporaire de liquidités de cette dernière ne peut être attribué à un manquement de sa part et que si sa mère était capable de discernement, elle n’apprécierait pas qu’un curateur soit nommé à sa place, ce d’autant que cette mesure engendre des frais supplémentaires pour elle. Dans ses déterminations, Me Alex Wagner a conclu à ce que le recourant soit désigné comme curateur de sa mère, observant que le dossier était compliqué puisque des rentes devaient être versées depuis l’étranger, que les accès aux comptes étaient difficiles à obtenir et exigeaient des démarches pas forcément utiles et qu’il s’agissait simplement de régler des factures, ce que le recourant avait toujours fait. a)Selon l'art. 400 al. 1 CC, l’autorité de protection de l’adulte nomme curateur une personne physique qui possède les aptitudes et les connaissances nécessaires à l’accomplissement des tâches qui lui seront confiées, qui dispose du temps nécessaire et qui les exécute en personne. Le curateur doit posséder les aptitudes et connaissances nécessaires aux tâches prévues (art. 400 al. 1 CC; Guide pratique COPMA, 2012, nn. 6.5 ss, pp. 180 ss), c’est-à-dire les qualités personnelles et relationnelles ainsi que les compétences professionnelles requises pour les accomplir, l’autorité de protection étant tenue de vérifier d’office que cette condition est réalisée (Message du Conseil fédéral du 28 juin 2006 à l’appui de la révision du droit de la protection de l’adulte [Message], FF 2006 p. 6683; TF 5A_691/2013 du 14 janvier 2014 c. 2.3.2 et réf. citées). Le critère déterminant pour la nomination d’une personne est son aptitude à effectuer les tâches qui lui seront confiées (Message, FF 2006 p. 6683).</w:t>
      </w:r>
    </w:p>
    <w:p>
      <w:r>
        <w:t>- 9 - Bien que le nouveau droit de protection de l’adulte ne prévoit plus un droit de préférence des proches d’être désigné comme curateur, ainsi que le prévoyait l’art. 380 aCC, l’autorité de protection de l’adulte doit tenir compte, lors de la désignation du curateur, des souhaits exprimés par la personne à protéger et nommer le curateur proposé, à moins que celui-ci ne remplisse pas les conditions requises pour être désigné et/ou qu’il refuse d’assumer la curatelle (art. 401 al. 1 CC). Cette règle découle du principe d’autodétermination qui prévaut dans le nouveau droit de protection de l’adulte (Droit de la protection de l’adulte, Guide pratique COPMA, 2012, n. 6.21, p. 186 ; Meier/Lukic, Introduction au nouveau droit de protection de l’adulte, 2011, n. 546, p. 249). Les souhaits de la famille ou d’autres proches de la personne concernée sont aussi pris en considération (art. 401 al. 2 CC), en particulier si l’intéressé n’est pas en mesure de se prononcer lui-même sur l’identité du curateur.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[CommFam], Protection de l’adulte, Berne 2013, n. 2 ad art. 401 CC, p. 519 ; Meier/Lukic, op. cit., n. 547, p. 250 ; Guide pratique COPMA, n. 6.22, p. 187).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 L’autorité de protection de l’adulte doit en outre veiller à ce qu’il n’y ait pas de conflit d’intérêts entre la personne à protéger et celle qui est pressentie comme curatrice (Häfeli, op. cit., n. 2 ad art. 401 CC, p. 519). Il y a conflit d’intérêts entre le curateur et la personne concernée lorsque ceux-ci ne sont plus parallèles et qu’il existe un risque abstrait que</w:t>
      </w:r>
    </w:p>
    <w:p>
      <w:r>
        <w:t>- 10 - le représentant légal fasse passer ses intérêts avant ceux de la personne sous curatelle (Meier/Lukic, op. cit., n. 555, p. 252 et réf. citées ; De Luze et crts, Droit de la famille, Lausanne 2013, nn. 1.2 à 1.4, p. 688 et réf. citées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550-551; Meier/Stettler, Droit de la filiation, 5e éd., Genève-Zurich-Bâle 2014, n. 941, p. 625). c)En l’espèce, il résulte du dossier que le recourant s’occupe de la gestion des affaires de sa mère depuis le décès de son père en 2002. Dans le cadre de la procédure de recours, le recourant s’est expliqué au sujet du manque de liquidités de sa mère pour le règlement de la pension et des démarches entreprises pour pallier ce manque de liquidités, pièces à l’appui. Le recourant a en outre entrepris des démarches en vue de la vente d’un appartement lui appartenant et le frère de celui-ci a réglé des arriérés de pension de B.O.________ en puisant sur ses propres biens. Aucun élément ne permet de retenir que le recourant n’aurait pas agi, jusqu’à présent, dans l’intérêt de sa mère. Les différents échanges de correspondances et de mails intervenus entre le recourant, le conseil de la société civile immobilière [...] et la gérance [...] démontrent par eux- mêmes que le recourant s’est toujours préoccupé des intérêts de sa mère. Aucun reproche ne peut être fait au recourant qui n’a pas démérité dans la gestion des affaires de celle-ci. Cela étant, le recourant est apte à exercer le mandat de curatelle de sa mère, ce que le curateur avocat désigné reconnaît lui-même dans ses déterminations. Dans ces conditions, la cour de céans considère qu’il est dans l’intérêt de la personne concernée que la mesure soit confiée à son fils qui est le mieux à même d’en assumer la gestion, dès lors qu’il connaît la situation de sa mère de longue date et que l’on peut admettre que cette désignation correspond à la volonté présumable de la personne concernée, qui avait confié la gestion de ses affaires à son fils à un moment où elle était capable de discernement. Il n’existe au surplus pas</w:t>
      </w:r>
    </w:p>
    <w:p>
      <w:r>
        <w:t>- 11 - de conflit d’intérêts entre la personne à protéger et le recourant. Partant, aucun motif ne s’opposant à la désignation du recourant en qualité de curateur de sa mère, le recours, bien fondé, doit être admis.</w:t>
      </w:r>
    </w:p>
    <w:p>
      <w:r>
        <w:rPr>
          <w:b/>
        </w:rPr>
        <w:t>E. 4</w:t>
      </w:r>
    </w:p>
    <w:p>
      <w:r>
        <w:t>En conclusion, le recours interjeté par A.O.________ doit être admis et la décision entreprise réformée en ce sens que A.O.________ est nommé curateur de sa mère B.O.________.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réformée à son chiffre IV comme il suit : IV. Nomme A.O.________, Ruelle [...], à 1323 [...], en qualité de curateur de B.O.________. Elle est confirmée pour le surplus. III. L’arrêt est rendu sans frais. IV. L'arrêt motivé est exécutoire. La présidente : La greffière :</w:t>
      </w:r>
    </w:p>
    <w:p>
      <w:r>
        <w:t>- 12 - Du 25 septembre 2014 Le dispositif de l'arrêt qui précède est communiqué par écrit aux intéressés. La greffière : Du L'arrêt qui précède, dont la rédaction a été approuvée à huis clos, est notifié à : - M. A.O.________, - Mme B.O.________, - Me Alex Wagner, et communiqué à :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