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OC14.011017 vom 18. Juni 2014</w:t>
      </w:r>
    </w:p>
    <w:p>
      <w:r>
        <w:t>VD Tribunal cantonal, 2014-06-18, FR</w:t>
      </w:r>
    </w:p>
    <w:p>
      <w:r>
        <w:rPr>
          <w:b/>
        </w:rPr>
        <w:t xml:space="preserve">Quelle: </w:t>
      </w:r>
      <w:r>
        <w:t>https://mcp.opencaselaw.ch/entscheid/vd_gerichte_OC14.011017</w:t>
      </w:r>
    </w:p>
    <w:p>
      <w:r>
        <w:t>FR: VD_GERICHTE OC14.011017 du 18 juin 2014</w:t>
      </w:r>
    </w:p>
    <w:p>
      <w:r>
        <w:t>IT: VD_GERICHTE OC14.011017 del 18 giugno 2014</w:t>
      </w:r>
    </w:p>
    <w:p>
      <w:pPr>
        <w:pStyle w:val="Heading2"/>
      </w:pPr>
      <w:r>
        <w:t>Erwägungen</w:t>
      </w:r>
    </w:p>
    <w:p>
      <w:r>
        <w:rPr>
          <w:b/>
        </w:rPr>
        <w:t>E. 1</w:t>
      </w:r>
    </w:p>
    <w:p>
      <w:r>
        <w:t>Le recours est dirigé contre une décision de la justice de paix nommant B.________ en qualité de curatrice au sens des art. 394 al. 1 et 395 al. 1 CC de L.________.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w:t>
      </w:r>
    </w:p>
    <w:p>
      <w:r>
        <w:t>- 5 -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b) En l’espèce, interjeté en temps utile par la curatrice désignée, qui a qualité pour recourir, le présent recours est recevable. L’autorité de protection a été consultée conformément à l’art. 450d CC.</w:t>
      </w:r>
    </w:p>
    <w:p>
      <w:r>
        <w:rPr>
          <w:b/>
        </w:rPr>
        <w:t>E. 2</w:t>
      </w:r>
    </w:p>
    <w:p>
      <w:r>
        <w:t>La recourante conteste sa désignation en qualité de curatrice de L.________, affirmant que ce mandat constitue un cas lourd. Elle indique que l’intéressée est toxicodépendante depuis plusieurs années, dépressive depuis toujours, sans travail et au revenu d’insertion. Elle ajoute que son état de santé s’est péjoré depuis septembre 2013, qu’elle rejette l’idée d’une curatelle et qu’elle a des idées suicidaires. a) Aux termes de l'art. 400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 Le principe de l'obligation d'accepter un mandat de curatelle a été maintenu sous le nouveau droit, à l'art. 400 al. 2 CC, l'esprit de</w:t>
      </w:r>
    </w:p>
    <w:p>
      <w:r>
        <w:t>- 6 - solidarité devant prévaloir dans le domaine de la protection de l'adulte, ceci malgré l'évolution de la société. Cela étant, la liste des motifs de dispense prévue par l'ancien droit (cf. art. 383 aCC) a été remplacée par la formule générale «sous réserve de justes motifs» (Message du Conseil fédéral du 28 juin 2006 à l’appui de la révision du droit de la protection de l’adulte [Message], FF 2006 p. 6683; Helle, Le nouveau droit de la protection de l’adulte, 2012, p. 176). Il s’agit d’une notion de droit fédéral et l'art. 400 al. 2 CC devra être interprété uniformément sous le contrôle ultime du Tribunal fédéral, sans que les cantons disposent d’une marge de manœuvre (Flückiger, L’obligation d’être tuteur : un principe de subsidiarité à l'épreuve de l'article 4 CEDH, in Revue de la protection des mineurs et des adultes [RMA] 2011, pp. 263 ss, spéc. p. 268). Indépendamment de la disponibilité du curateur (Reusser, Basler Kommentar, op. cit., n. 27 ad art. 400 CC, p. 288), le critère déterminant pour la nomination d'une personne est son aptitude à accomplir les tâches qui lui seront confiées (Message, FF 2006 p. 6683). L'aptitude à occuper la fonction de curateur suppose en particulier que la personne choisie puisse être investie de cette charge, autrement dit que cette mission soit pour elle supportable physiquement et psychiquement (Schnyder/Murer, Berner Kommentar, n. 59 ad art. 379 aCC, pp. 702 ss, point de vue qui demeure valable sous l'empire du nouveau droit). b) Selon le Message du Conseil fédéral, une personne exerçant la fonction à titre privé peut être chargée d’une curatelle; la nécessité de continuer à confier des curatelles à des personnes privées n’est contestée ni dans la doctrine ni dans la jurisprudence, cette solution présentant l’avantage de contrer quelque peu la tendance consistant à déléguer la responsabilité d’aider son prochain à des professionnels et à des institutions (FF 2006 p. 6683 ch. 2.2.5). La doctrine ne remet pas non plus en discussion l’intervention de curateurs privés (cf. Reusser, Basler Kommentar, op. cit., n.14/15 ad art. 400 CC, pp. 283 et 284; Fassbind, Erwachsenenschutz, 2012, p. 253; Häfeli, CommFam, Protection de l’adulte, n. 7 ad art. 400 CC, pp. 507 et 508; Meier/Lukic, Introduction au</w:t>
      </w:r>
    </w:p>
    <w:p>
      <w:r>
        <w:t>- 7 - nouveau droit de la protection de l’adulte, 2011, n. 541 et les notes 643/644, p. 246). Si la loi ne consacre pas de hiérarchie entre les différentes catégories de curateurs (FF 2006 p. 6683 ch. 2.2.5) – plusieurs dispositions étant toutefois destinées au curateur professionnel (cf. art. 404 aI. 1, 421 ch. 3, 424 et 425 al. 1 CC) – cela ne signifie pas qu’un curateur privé pourrait être investi de n’importe quelle mesure de protection. Comme l’observe le Conseil fédéral, «la complexité de certaines tâches limite le recours à des non-professionnels» (loc. cit.); aussi est-il admis qu’un curateur privé ne devrait pas être chargé d’une curatelle en faveur de personnes qui, en particulier, souffrent de problèmes de dépendance (Guide pratique COPMA, n. 6.34, p. 191; dans ce sens : Reusser, Basler Kommentar, op. cit., n. 17 ad art. 400 CC, p. 284; Flückiger, op. cit., p. 280; Häfeli, Grundriss zum Erwachsenenschutzrecht, 2013, n. 21.09, p. 162). Ces considérations ne sont pas étrangères à l’art. 40 al. 4 LVPAE (TF 5A_699/2013 du 29 novembre 2013 c. 4.1). L'art. 40 LVPAE prévoit une distinction entre les mandats de protection pouvant être confiés à des curateurs ou tuteurs privés (al. 1, «cas simples» ou «cas légers») et ceux pouvant être attribués à l'entité de curateurs et tuteurs professionnels (al. 4, «cas lourds»). Selon l'art. 40 al. 1 LVPAE, sont en principe confiés à un tuteur/curateur privé les mandats de protection pour lesquels une personne respectant les conditions légales de nomination se propose volontairement ou accepte sa désignation sur demande du pupille (let. a); les mandats de protection pouvant être confiés à un notaire, un avocat, une fiduciaire ou tout autre intervenant privé ayant les compétences professionnelles requises pour gérer un patrimoine financier (let. b); les mandats de protection qui concernent les pupilles placés dans une institution qui assume une prise en charge continue (let. c); les mandats de protection qui, après leur ouverture et leur mise à jour complète, n'appellent qu'une gestion administrative et financière des biens du</w:t>
      </w:r>
    </w:p>
    <w:p>
      <w:r>
        <w:t>- 8 -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tout autre problème de dépendance non stabilisé ou dont la médication ou la thérapie prescrite n'est pas suivie par la personne concernée (let. b); maladies psychiques graves non stabilisées (let. c); atteinte à la santé dont le traitement implique des réunions de divers intervenants sociaux ou médicaux (let. d); déviance comportementale (let. e); marginalisation (let. f); problèmes liés à un dessaisissement de fortune (let. g);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 VD], décembre 2010, n. 361, ch. 5.1, commentaire introductif ad art. 97a al. 2 LVCC, p. 10, auquel renvoie l'EMPL de la loi vaudoise d'application du droit fédéral de la protection de l'adulte et de l'enfant, novembre 2011, no 441, p. 109). L'utilisation des termes «en principe» tant à l'alinéa 1 qu'à l'alinéa 4 de l'art. 40 LVPAE témoigne de la volonté du législateur de laisser une marge d'appréciation à l'autorité de protection quant à la distinction entre les cas simples et les cas lourds. c) En l’espèce, il ressort du dossier que L.________ est suivie depuis le 11 novembre 2011 au Centre Saint-Martin, établissement destiné aux personnes toxicodépendantes de la région lausannoise, dans un contexte d’épuisement psychique et somatique. En outre, dans leur rapport du 31 octobre 2013, le docteur J.________ et F.________ relèvent que</w:t>
      </w:r>
    </w:p>
    <w:p>
      <w:r>
        <w:t>- 9 - depuis environ six mois, son état s’est péjoré sur le plan psychiatrique, qu’elle ne se rend plus régulièrement aux divers rendez-vous fixés, ne paye plus ses factures et ne gère plus ses besoins quotidiens. Dans leur courrier du 26 novembre 2013, F.________ et la doctoresse N.________ ont du reste préconisé l’instauration d’une curatelle professionnelle en sa faveur. Enfin, dans son acte du 6 mai 2014, la recourante indique qu’elle présente des idées suicidaires. En conséquence, il faut considérer que l’on se trouve en présence d’un cas qui peut être objectivement évalué comme trop lourd à gérer pour un curateur privé au sens de l’art. 40 al. 4 let. a, c et i LVPAE et qu’il est dans l’intérêt de la personne concernée que la mesure soit confiée à un curateur professionnel jusqu’à ce que sa situation soit stabilisée. Le recours se révèle ainsi bien fondé. Interpellé afin de communiquer à la Cour de céans le nom d’un collaborateur qui pourra être désigné comme curateur, l’OCTP a indiqué que le mandat sera confié à T.________, curatrice professionnelle.</w:t>
      </w:r>
    </w:p>
    <w:p>
      <w:r>
        <w:rPr>
          <w:b/>
        </w:rPr>
        <w:t>E. 3</w:t>
      </w:r>
    </w:p>
    <w:p>
      <w:r>
        <w:t>En conclusion, le recours doit être admis et la décision entreprise réformée au chiffre II de son dispositif en ce sens que T.________, assistante sociale de l’OCTP, est nommée en qualité de curatrice et qu’en cas d’indisponibilité de celle-ci, ledit office assurera son remplacement, la décision étant confirmée pour le surplus. Le présent arrêt peut être rendu sans frais judiciaires (art. 74a al. 4 TFJC [Tarif du 28 septembre 2010 des frais judiciaires civils, RSV 270.11.5]).</w:t>
      </w:r>
    </w:p>
    <w:p>
      <w:r>
        <w:t>- 10 - Par ces motifs, la Chambre des curatelles du Tribunal cantonal, statuant à huis clos, prononce : I. Le recours est admis. II. La décision est réformée au chiffre II de son dispositif comme suit : II. Nomme T.________, assistante sociale de l’Office des curatelles et tutelles professionnelles, en qualité de curatrice et dit qu’en cas d’indisponibilité de celle-ci, ledit office assurera son remplacement. La décision est confirmée pour le surplus. III. L’arrêt est rendu sans frais judiciaires. IV. L'arrêt motivé est exécutoire. La présidente : La greffière : Du 18 juin 2014 Le dispositif de l'arrêt qui précède est communiqué par écrit aux intéressés. La greffière :</w:t>
      </w:r>
    </w:p>
    <w:p>
      <w:r>
        <w:t>- 11 - Du L'arrêt qui précède, dont la rédaction a été approuvée à huis clos, est notifié à : - Mme B.________, - Mme L.________, - Mme T.________, curatrice professionnelle auprès de l’Office des curatelles et tutelles professionnelles,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