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OC14.004923 vom 15. April 2014</w:t>
      </w:r>
    </w:p>
    <w:p>
      <w:r>
        <w:t>VD Tribunal cantonal, 2014-04-15, FR</w:t>
      </w:r>
    </w:p>
    <w:p>
      <w:r>
        <w:rPr>
          <w:b/>
        </w:rPr>
        <w:t xml:space="preserve">Quelle: </w:t>
      </w:r>
      <w:r>
        <w:t>https://mcp.opencaselaw.ch/entscheid/vd_gerichte_OC14.004923</w:t>
      </w:r>
    </w:p>
    <w:p>
      <w:r>
        <w:t>FR: VD_GERICHTE OC14.004923 du 15 avril 2014</w:t>
      </w:r>
    </w:p>
    <w:p>
      <w:r>
        <w:t>IT: VD_GERICHTE OC14.004923 del 15 aprile 2014</w:t>
      </w:r>
    </w:p>
    <w:p>
      <w:pPr>
        <w:pStyle w:val="Heading2"/>
      </w:pPr>
      <w:r>
        <w:t>Erwägungen</w:t>
      </w:r>
    </w:p>
    <w:p>
      <w:r>
        <w:rPr>
          <w:b/>
        </w:rPr>
        <w:t>E. 1</w:t>
      </w:r>
    </w:p>
    <w:p>
      <w:r>
        <w:t>Le recours est dirigé contre une décision de la justice de paix nommant U.________ en qualité de curatrice au sens des art. 394 al. 1 et 395 al. 1 CC d’A.J.________.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w:t>
      </w:r>
    </w:p>
    <w:p>
      <w:r>
        <w:t>- 6 -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Conformément à l'art. 450d CC, la Chambre des curatelles donne à la justice de paix (art. 4 al. 1 LVPAE) l'occasion de prendre position (al. 1), cette autorité pouvant, au lieu de prendre position, reconsidérer sa décision (al. 2). b) Motivé et interjeté en temps utile par la curatrice désignée, qui a qualité pour recourir, le recours est recevable. Il en va de même des autres écritures déposées en deuxième instance. Interpellée conformément à l’art. 450d al. 1 CC, la justice de paix a renoncé à prendre position ou à reconsidérer sa décision.</w:t>
      </w:r>
    </w:p>
    <w:p>
      <w:r>
        <w:rPr>
          <w:b/>
        </w:rPr>
        <w:t>E. 2</w:t>
      </w:r>
    </w:p>
    <w:p>
      <w:r>
        <w:t>a) La recourante conteste sa désignation en qualité de curatrice d’A.J.________, faisant en substance valoir que ce mandat constituerait un cas lourd à confier à un professionnel. b) Conformément à l'art. 400 al. 1 CC, l’autorité de protection de l’adulte nomme curateur une personne physique qui possède les aptitudes et les connaissances nécessaires à l’accomplissement des tâches qui lui seront confiées, qui dispose du temps nécessaire et qui les exécute en personne. Selon le Message du Conseil fédéral du 28 juin 2006 à l’appui de la révision du droit de la protection de l’adulte, « une personne exerçant la fonction à titre privé » peut être chargée d’une curatelle ; la</w:t>
      </w:r>
    </w:p>
    <w:p>
      <w:r>
        <w:t>- 7 - « nécessité de continuer à confier des curatelles à des personnes privées n’est contestée ni dans la doctrine ni dans la jurisprudence », cette solution présentant « l’avantage de contrer quelque peu la tendance consistant à déléguer la responsabilité d’aider son prochain à des professionnels et à des institutions » (FF 2006 p. 6683 ch. 2.2.5). Si la loi ne consacre pas de hiérarchie entre les différentes catégories de curateurs (FF 2006 p. 6683 ch. 2.2.5) – plusieurs dispositions étant toutefois destinées au curateur professionnel (cf. art. 404 aI. 1 2e phr., 421 ch. 3, 424 2e phr. et 425 al. 1 2e phr. CC) – cela ne signifie pas qu’un curateur privé pourrait être investi de n’importe quelle mesure de protection. Comme l’observe le Conseil fédéral, « la complexité de certaines tâches limite le recours à des non-professionnels » (loc. cit.) ; aussi est-il admis qu’un curateur privé ne devrait pas être chargé d’une curatelle en faveur de personnes qui, en particulier, souffrent « de problèmes de dépendance », sont « incapables de gérer leur argent » ou sont « fortement endettées » (Guide pratique COPMA, n. 6.34, p. 191 ; dans ce sens : Reusser, Basler Kommentar, op. cit., n. 17 ad art. 400 CC, p. 284 ; Flückiger, L’obligation d’être tuteur : un principe de subsidiarité à l’épreuve de l’article 4 CEDH, in Auf der Scholle und in lichten Höhen, Festschrift für Paul Richli, 2011, pp. 179 ss, spéc. p. 197, avec référence à la pratique zurichoise, également publié in Revue de la protection des mineurs et des adultes [RMA] 2011, pp. 263 ss, spéc. p. 280 ; Häfeli, Grundriss zum Erwachsenenschutzrecht, 2013, n. 21.09, p. 162). Dans le canton de Vaud, ces considérations se trouvent concrétisées par l’art. 40 LVPAE. Selon l'alinéa 1 de cette disposition,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w:t>
      </w:r>
    </w:p>
    <w:p>
      <w:r>
        <w:t>- 8 -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no 441, p. 109). L'utilisation des termes « en principe » tant à l'alinéa 1 qu'à l'alinéa 4 de l'art. 40 LVPAE témoigne de la volonté du législateur de laisser une marge d'appréciation à l'autorité de protection quant à la distinction entre les cas simples et les cas lourds. c/aa) En l’espèce, I.________ a signalé le 2 octobre 2013 la situation de son fils A.J.________ à des fins de protection, au motif que</w:t>
      </w:r>
    </w:p>
    <w:p>
      <w:r>
        <w:t>- 9 - celui-ci, bénéficiaire d’une rente AI depuis 2006, gérait mal son budget. Elle a souligné que son ex-mari B.J.________ et elle-même avaient tenté d’apporter du soutien à leur fils, sans résultat. Lors de l’audience du 5 novembre 2013, elle a expliqué que le compte d’A.J.________ était toujours à découvert et que son ex-conjoint et elle avaient dû intervenir financièrement pour l’aider, ce qu’B.J.________ a confirmé. Elle a ajouté avoir constaté de nombreuses négligences dans la prise en charge des affaires administratives de l’intéressé, notamment s’agissant du remboursement des factures médicales. B.J.________ a pour sa part indiqué que son fils contractait des dettes depuis cinq ou six ans. A.J.________ souffre d’un trouble de la personnalité anxieuse depuis l’adolescence, caractérisé notamment par une vulnérabilité à tout stress et par une anxiété le poussant à développer des stratégies d’évitement. Le seul traitement raisonnable est une psychothérapie au long cours associée à une reprise d’activité progressive. Selon le Dr C.________, sur le plan clinique, l’état de santé psychique d’A.J.________, qu’il suit depuis plus d’un an, est stable avec une thymie qui reste fluctuante, marquée par des épisodes d’anxiété qu’il arrive relativement bien à gérer, et l’intéressé bénéficie d’une médication à visée anxiolytique. Ce médecin a estimé que l’institution d’une curatelle ne ferait que renforcer les stratégies d’évitement que son patient avait déjà mises en place. Au vu de ces éléments, A.J.________ n’est pas capable de gérer son argent et la coopération avec ce dernier risque d’être compliquée, celui-ci adoptant des stratégies d’évitement – qui pourraient encore être renforcées par la mesure de curatelle – et ses parents eux-mêmes ayant été poussés au bout de leurs possibilités. En conséquence, il faut considérer que l’on se trouve en présence d’un cas qui peut être objectivement évalué comme trop lourd à gérer pour un curateur privé au sens de l’art. 40 al. 4 let. i LVPAE et qu’il est dans l’intérêt de la personne concernée que la mesure soit confiée à un curateur professionnel. Le recours se révèle ainsi bien fondé.</w:t>
      </w:r>
    </w:p>
    <w:p>
      <w:r>
        <w:t>- 10 - bb) L’OCTP a été interpellé à deux reprises afin de communiquer à la cour de céans le nom d’un collaborateur qui pourrait être désigné comme curateur en cas d’admission du recours. En l’absence de réponse à ces sollicitations, le mandat doit être confié à B.________, chef de l’OCTP, étant précisé qu’en cas d’indisponibilité de celui-ci, ledit office assurera son remplacement en attendant la désignation d’un nouveau curateur.</w:t>
      </w:r>
    </w:p>
    <w:p>
      <w:r>
        <w:rPr>
          <w:b/>
        </w:rPr>
        <w:t>E. 3</w:t>
      </w:r>
    </w:p>
    <w:p>
      <w:r>
        <w:t>En conclusion, le recours doit être admis et la décision réformée en ce sens que B.________ est nommé en qualité de curateur d’A.J.________, qu’il exercera les tâches décrites au chiffre IV du dispositif, qu’il procédera aux démarches énoncées au chiffre V et qu’il reçoit les autorisations énumérées au chiffre VI, la décision étant confirmée pour le surplus. Le présent arrêt peut être rendu sans frais judiciaires (art. 74a al. 4 TFJC [tarif du 28 septembre 2010 des frais judiciaires civils, RSV 270.11.5]). Même si elle obtient gain de cause, il n’y a pas lieu d’allouer de dépens de deuxième instance à la recourante. En effet, elle a agi personnellement et la justice de paix n’a pas qualité de partie, mais d’autorité de première instance, de sorte qu’elle ne saurait être condamnée à des dépens (cf. Tappy, CPC commenté, Bâle 2011, n. 34 ad art. 107 CPC, p. 426 ; voir également l’arrêt rendu sous l’empire de l’ancien droit paru au JT 2001 III 121, qui conserve sa pertinence).</w:t>
      </w:r>
    </w:p>
    <w:p>
      <w:r>
        <w:t>- 11 - Par ces motifs, la Chambre des curatelles du Tribunal cantonal, statuant à huis clos, prononce : I. Le recours est admis. II. La décision est réformée aux chiffres III, IV, V et VI de son dispositif comme suit : III.- Nomme B.________, chef de l’Office des curatelles et tutelles professionnelles, en qualité de curateur et dit qu’en cas d’indisponibilité de celui-ci, ledit office assurera son remplacement en attendant la désignation d’un nouveau curateur. IV.- Dit que B.________, exercera les tâches suivantes dans le cadre de la curatelle de représentation : - représenter A.J.________ dans les rapports avec les tiers, en particulier en matière de logement, santé, affaires sociales, administration et affaires juridiques, et sauvegarder au mieux ses intérêts (art. 394 al. 1 CC) ; dans le cadre de la curatelle de gestion : - veiller à la gestion des revenus et de la fortune d’A.J.________, administrer ses biens avec diligence et accomplir les actes juridiques liés à la gestion (art. 395 al. 1 CC). - représenter, si nécessaire, A.J.________ pour ses besoins ordinaires (art. 408 al. 2 ch. 3 CC). V.- Invite le curateur à remettre au juge dans un délai de vingt jours dès notification de la présente décision un inventaire des biens d’A.J.________ accompagné d’un budget annuel et à soumettre des comptes annuellement à l’approbation de</w:t>
      </w:r>
    </w:p>
    <w:p>
      <w:r>
        <w:t>- 12 - l’autorité de céans avec un rapport sur son activité et sur l’évolution de la situation d’A.J.________. VI.- Autorise, si nécessaire, le curateur à prendre connaissance de la correspondance d’A.J.________, afin qu’il puisse obtenir des informations sur sa situation financière et administrative et s’enquérir de ses conditions de vie et, au besoin, à pénétrer dans son logement s’il est sans nouvelles de l’intéressé depuis un certain temps. La décision est confirmée pour le surplus. III. L’arrêt est rendu sans frais judiciaires. IV. L’arrêt motivé est exécutoire. La présidente : La greffière : Du 15 avril 2014 Le dispositif de l'arrêt qui précède est communiqué par écrit aux intéressés. La greffière : Du L'arrêt qui précède, dont la rédaction a été approuvée à huis clos, est notifié à : - Mme U.________, - M. A.J.________, - M. B.________, chef de l’Office des curatelles et tutelles professionnelles,</w:t>
      </w:r>
    </w:p>
    <w:p>
      <w:r>
        <w:t>- 13 -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