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OC13.040939 vom 27. November 2013</w:t>
      </w:r>
    </w:p>
    <w:p>
      <w:r>
        <w:t>VD Tribunal cantonal, 2013-11-27, FR</w:t>
      </w:r>
    </w:p>
    <w:p>
      <w:r>
        <w:rPr>
          <w:b/>
        </w:rPr>
        <w:t xml:space="preserve">Quelle: </w:t>
      </w:r>
      <w:r>
        <w:t>https://mcp.opencaselaw.ch/entscheid/vd_gerichte_OC13.040939</w:t>
      </w:r>
    </w:p>
    <w:p>
      <w:r>
        <w:t>FR: VD_GERICHTE OC13.040939 du 27 novembre 2013</w:t>
      </w:r>
    </w:p>
    <w:p>
      <w:r>
        <w:t>IT: VD_GERICHTE OC13.040939 del 27 novembre 2013</w:t>
      </w:r>
    </w:p>
    <w:p>
      <w:pPr>
        <w:pStyle w:val="Heading2"/>
      </w:pPr>
      <w:r>
        <w:t>Erwägungen</w:t>
      </w:r>
    </w:p>
    <w:p>
      <w:r>
        <w:rPr>
          <w:b/>
        </w:rPr>
        <w:t>E. 1</w:t>
      </w:r>
    </w:p>
    <w:p>
      <w:r>
        <w:t>Le recours est dirigé contre une décision de la justice de paix désignant R.________ en qualité de curateur au sens des art. 394 al. 1 et 395 al. 1 CC de S.________.</w:t>
      </w:r>
    </w:p>
    <w:p>
      <w:r>
        <w:t>- 5 - a)Contre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 L’art. 446 al. 1 CC prévoit que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450a CC, p. 644, et les auteurs cités). Peu importe à cet égard que le Tribunal fédéral ait affirmé en matière d’assurances complémentaires à l’assurance-maladie – où la procédure simplifiée de l’art. 243 al. 2 let. f CPC s'applique, de sorte que le tribunal établit les faits d'office conformément à l'art. 247 al. 2 let. a CPC –, qu’il était exclu d’appliquer l’art. 229 al. 3 CPC par analogie en appel (ATF 138 III 625). En effet, en matière de protection de l'adulte et de l'enfant, la maxime inquisitoire illimitée est applicable, de sorte que les restrictions posées par l'art. 317 CPC pour l'introduction de faits ou moyens de preuve nouveaux sont inapplicables (cf. JT 2011 III 43 ; CCUR 28 février 2013/56).</w:t>
      </w:r>
    </w:p>
    <w:p>
      <w:r>
        <w:t>- 6 - b)Interjeté en temps utile par le curateur désigné, qui a qualité pour recourir, le présent recours est recevable. La correspondance transmise par la justice de paix à la cour de céans en deuxième instance est également recevable. L’autorité de protection a été consultée conformément à l’art. 450d CC.</w:t>
      </w:r>
    </w:p>
    <w:p>
      <w:r>
        <w:rPr>
          <w:b/>
        </w:rPr>
        <w:t>E. 2</w:t>
      </w:r>
    </w:p>
    <w:p>
      <w:r>
        <w:t>a) La Chambre des curatelles, qui n'est pas tenue par les moyens et les conclusions des parties, examine d'office si la décision n'est pas affectée de vices d'ordre formel. b) Le recourant n'a pas eu l'occasion de s'exprimer devant l'autorité de protection au sujet de sa nomination. Il a cependant pu faire valoir ses griefs dans la présente procédure de recours, de sorte que son droit d'être entendu peut être tenu pour respecté, la Chambre des curatelles disposant d'un plein pouvoir d'examen en fait et en droit (cf. art. 450a CC ; ATF 137 I 195 c. 2.3.2).</w:t>
      </w:r>
    </w:p>
    <w:p>
      <w:r>
        <w:rPr>
          <w:b/>
        </w:rPr>
        <w:t>E. 3</w:t>
      </w:r>
    </w:p>
    <w:p>
      <w:r>
        <w:t>a)Le recourant conteste sa désignation, faisant valoir qu’il est enseignant dans le secondaire inférieure au collège [...], à [...], à plein temps, que son activité de maître de classe génère un surplus de travail en lien avec les parents d’élèves et leurs inquiétudes pour lequel il doit consacrer des soirées, qu’il est confronté cette année à des élèves agités et difficiles face auxquels il se sent par moment débordé, qu’une de ses élèves sous suivi psychiatrique à la suite d’une tentative de suicide en juin 2013 nécessite une discrète attention et qu’il profite de ses treize semaines de vacances pour se ressourcer. Il précise encore que son épouse occupe un poste à responsabilités à 90% à l’administration du Centre hospitalier universitaire vaudois (ci-après : CHUV), qu’il doit donc s’impliquer dans la gestion et l’accomplissement des tâches domestiques incombant à une famille de deux enfants de neuf et onze ans, que sa fille aînée affiche certains troubles alimentaires alarmants depuis quelques semaines, qu’elle mesure 160 centimètres et pèse 43,5 kilogrammes, que son état déstabilise la famille qui doit mener un combat au quotidien pour</w:t>
      </w:r>
    </w:p>
    <w:p>
      <w:r>
        <w:t>- 7 - qu’elle se nourrisse, qu’il a sollicité l’intervention de professionnels, mais que sa fille n’a pas pris conscience de la gravité de son état, qu’il accorde du temps à sa mère et sa belle-mère, âgées respectivement de huitante et huitante-cinq ans, afin d’assurer leur maintien à domicile dans de bonnes conditions, que l’état de santé de sa belle-mère s’est encore dégradé durant ces derniers mois, qu’il a besoin de l’aide d’un tiers pour établir le budget familial et remplir la déclaration d’impôt, qu’il ne dispose pas des compétences nécessaires pour gérer la situation d’une personne dotée de problèmes psychiatriques ayant deux enfants sous sa responsabilité et que sa désignation en qualité de curateur l’a stressé et déstabilisé. b)Aux termes de l'art. 400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(al. 1). Sous réserve de justes motifs, la personne nommée est tenue d’accepter la curatelle (al. 2). Le principe de l'obligation d'accepter un mandat de curatelle a été maintenu sous le nouveau droit, à l'art. 400 al. 2 CC, l'esprit de solidarité devant prévaloir dans le domaine de la protection de l'adulte, ceci malgré l'évolution de la société. Cela étant, la liste des motifs de dispense prévue par l'ancien droit (cf. art. 383 aCC) a été remplacée par la formule générale « sous réserve de justes motifs » (Message, FF 2006 p. 6683 ; Helle, Le nouveau droit de la protection de l’adulte, 2012, p. 176). Il s’agit d’une notion de droit fédéral et l'art. 400 al. 2 CC devra être interprété uniformément sous le contrôle ultime du Tribunal fédéral, sans que les cantons disposent d’une marge de manœuvre (Flückiger, L’obligation d’être tuteur : un principe de subsidiarité à l'épreuve de l'article 4 CEDH, in Revue de la protection des mineurs et des adultes [RMA] 2011, pp. 263 ss, spéc. p. 268). Il ressort du Message que de « lourdes charges professionnelles ou familiales existantes ou imminentes ou encore</w:t>
      </w:r>
    </w:p>
    <w:p>
      <w:r>
        <w:t>- 8 - l’exercice de fonctions publiques » peuvent notamment constituer de justes motifs au sens de l’art. 400 al. 2 CC (FF 2006 p. 6683). Selon le rapport de la Commission d’experts pour la révision totale du droit de la tutelle et la doctrine, les motifs invoqués, qu’ils soient liés à la situation personnelle ou professionnelle, doivent être suffisamment importants pour que la prise en charge d’un mandat de curateur ne puisse raisonnablement plus être exigée de la personne en question (Rapport relatif à la révision du code civil [Protection de l’adulte, droit des personnes et droit de la filiation], Berne 2003, p. 42 ; Reusser, op. cit., n. 48 ad art. 400 CC, p. 294 : « so dass die Übernahme des Amtes nicht zumutbar ist » ; CCUR, 22 février 2013/29). Il n’est ainsi pas possible de relativiser les exigences posées pour l’admission de motifs de dispense, puisqu’elles tirent leur légitimité du système légal tel qu’il a été aménagé. Admettre un recours fondé sur des motifs insuffisants reviendrait à priver la loi de son sens et de son but par voie jurisprudentielle, ce qui n’est pas admissible. Ces exigences vont de pair avec le « temps nécessaire » au sens de l’art. 400 al. 1 CC dont le curateur doit disposer pour accomplir les tâches qui lui seront confiées. b)En l’espèce, le recourant est enseignant secondaire à plein temps et maître de classe. Son épouse occupe un poste de cadre à 90 % au CHUV et ils ont deux enfants âgés respectivement de neuf et onze ans. Outre le fait que sa vie professionnelle soit très absorbante et qu’il doive beaucoup s’investir dans la gestion et l’accomplissement des tâches domestiques, le recourant doit s’occuper de sa fille aînée qui est anorexique et dont l’état de santé, très préoccupant, nécessite l’inter- vention de professionnels. De plus, le recourant doit consacrer du temps à sa mère et à sa belle-mère qui sont âgées et l’état de santé de sa belle- mère s’est encore péjoré durant ces derniers mois. Il apparaît dès lors clairement que le recourant ne peut offrir aucune disponibilité pour la per- sonne concernée, sauf à ne pas assurer ses tâches familiales particulièrement absorbantes, en sus de ses tâches professionnelles. Dans ces conditions, la cour de céans considère que R.________ n’est pas apte à assumer la curatelle confiée, les intérêts de S.________</w:t>
      </w:r>
    </w:p>
    <w:p>
      <w:r>
        <w:t>- 9 - risquant d’être compromis par sa désignation en qualité de curateur. Il appartiendra par conséquent à la justice de paix de nommer un nouveau curateur.</w:t>
      </w:r>
    </w:p>
    <w:p>
      <w:r>
        <w:rPr>
          <w:b/>
        </w:rPr>
        <w:t>E. 4</w:t>
      </w:r>
    </w:p>
    <w:p>
      <w:r>
        <w:t>En conclusion, le recours interjeté par R.________ doit être admis et sa désignation en qualité de curateur de S.________ annulée, la cause étant retournée à la justice de paix pour désignation d’un nouveau curateur. Le présent arrêt peut être rendu sans frais judiciaires (art. 74a al. 4 TFJC [Tarif du 28 septembre 2010 des frais judiciaires civils, RSV 270.11.5]). Par ces motifs, la Chambre des curatelles du Tribunal cantonal, statuant à huis clos, prononce : I. Le recours est admis. II. La décision est annulée aux chiffres III et V de son dispositif, la cause étant renvoyée à la Justice de paix du district de Lausanne pour nomination d’un nouveau curateur. La décision est confirmée pour le surplus. III. L’arrêt est rendu sans frais judiciaires. IV. L'arrêt motivé est exécutoire. Le président : La greffière :</w:t>
      </w:r>
    </w:p>
    <w:p>
      <w:r>
        <w:t>- 10 - Du 27 novembre 2013 Le dispositif de l'arrêt qui précède est communiqué par écrit aux intéressés. La greffière : Du L'arrêt qui précède, dont la rédaction a été approuvée à huis clos, est notifié à : - M. R.________, - Mme S.________,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