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OC11.040306 vom 28. November 2013</w:t>
      </w:r>
    </w:p>
    <w:p>
      <w:r>
        <w:t>VD Tribunal cantonal, 2013-11-28, FR</w:t>
      </w:r>
    </w:p>
    <w:p>
      <w:r>
        <w:rPr>
          <w:b/>
        </w:rPr>
        <w:t xml:space="preserve">Quelle: </w:t>
      </w:r>
      <w:r>
        <w:t>https://mcp.opencaselaw.ch/entscheid/vd_gerichte_OC11.040306</w:t>
      </w:r>
    </w:p>
    <w:p>
      <w:r>
        <w:t>FR: VD_GERICHTE OC11.040306 du 28 novembre 2013</w:t>
      </w:r>
    </w:p>
    <w:p>
      <w:r>
        <w:t>IT: VD_GERICHTE OC11.040306 del 28 novembre 2013</w:t>
      </w:r>
    </w:p>
    <w:p>
      <w:pPr>
        <w:pStyle w:val="Heading2"/>
      </w:pPr>
      <w:r>
        <w:t>Erwägungen</w:t>
      </w:r>
    </w:p>
    <w:p>
      <w:r>
        <w:rPr>
          <w:b/>
        </w:rPr>
        <w:t>E. 1</w:t>
      </w:r>
    </w:p>
    <w:p>
      <w:r>
        <w:t>Le recours est dirigé contre une décision de la justice de paix nommant B.________ en qualité de curateur au sens des art. 392 ch. 1 et 393 ch. 2 aCC de N.________. a) 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(Steck, Basler Kommentar, Erwachsenenschutz, 2012, n. 42 ad art. 450 CC, p. 642). 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[Code de procédure civile du 19 décembre 2008, RS 272]). Selon les situations, le recours sera par conséquent de nature réformatoire ou cassatoire (Guide pratique COPMA, n. 12.39, p. 290). Conformément à l'art. 450d CC, la Chambre des curatelles donne à la justice de paix (art. 4 al. 1 LVPAE) l'occasion de</w:t>
      </w:r>
    </w:p>
    <w:p>
      <w:r>
        <w:t>- 5 - prendre position (al. 1), cette autorité pouvant, au lieu de prendre position, reconsidérer sa décision (al. 2). L’art. 446 al. 1 CC prévoit que l'autorité de protection de l'adulte établit les faits d'office. Compte tenu du renvoi de l’art. 450f CC aux règles du CPC, l’art. 229 al. 3 CPC est applicable devant cette autorité, de sorte que les faits et moyens de preuve nouveaux sont admis jusqu’aux délibérations. Cela vaut aussi en deuxième instance (Steck, op. cit., n. 7 ad 450a CC, p. 644, et les auteurs cités). b) En l’espèce, le recours, motivé et interjeté en temps utile par le curateur désigné, qui a qualité pour recourir, est recevable à la forme. La pièce produite en deuxième instance est également recevable. L’autorité de protection a été consultée, conformément à l’art. 450d al. 1 CC.</w:t>
      </w:r>
    </w:p>
    <w:p>
      <w:r>
        <w:rPr>
          <w:b/>
        </w:rPr>
        <w:t>E. 2</w:t>
      </w:r>
    </w:p>
    <w:p>
      <w:r>
        <w:t>a) La Chambre des curatelles, qui n'est pas tenue par les moyens et les conclusions des parties, examine d'office si la décision n'est pas affectée de vices d'ordre formel. b) Le recourant n'a pas eu l'occasion de s'exprimer devant l'autorité de protection au sujet de sa nomination. Il a cependant pu faire valoir ses griefs dans la présente procédure de recours, de sorte que son droit d'être entendu peut être tenu pour respecté, la Chambre des curatelles disposant d'un plein pouvoir d'examen en fait et en droit (cf. art. 450a CC ; ATF 137 I 195 c. 2.3.2).</w:t>
      </w:r>
    </w:p>
    <w:p>
      <w:r>
        <w:rPr>
          <w:b/>
        </w:rPr>
        <w:t>E. 3</w:t>
      </w:r>
    </w:p>
    <w:p>
      <w:r>
        <w:t>a) Le recourant fait valoir qu’il s’occupe de la « curatelle privée » de ses beaux-parents et qu’il se trouve, de par son travail, dans un état de fatigue « frisant le burn-out », se référant au surplus au certificat médical de son médecin traitant.</w:t>
      </w:r>
    </w:p>
    <w:p>
      <w:r>
        <w:t>- 6 - b) Aux termes de l'art. 400 CC, l’autorité de protection de l’adulte nomme curateur une personne physique qui possède les aptitudes et les connaissances nécessaires à l’accomplissement des tâches qui lui seront confiées, qui dispose du temps nécessaire et qui les exécute en personne. Elle peut nommer plusieurs personnes si des circonstances particulières le justifient (al. 1). Sous réserve de justes motifs, la personne nommée est tenue d’accepter la curatelle (al. 2). Le principe de l'obligation d'accepter un mandat de curatelle a été maintenu sous le nouveau droit, à l'art. 400 al. 2 CC, l'esprit de solidarité devant prévaloir dans le domaine de la protection de l'adulte, ceci malgré l'évolution de la société. Cela étant, la liste des motifs de dispense prévue par l'ancien droit (cf. art. 383 aCC) a été remplacée par la formule générale « sous réserve de justes motifs » (Message, FF 2006 p. 6683). Il s’agit d’une notion de droit fédéral et l'art. 400 al. 2 CC devra être interprété uniformément sous le contrôle ultime du Tribunal fédéral, sans que les cantons disposent d’une marge de manœuvre (Flückiger, L’obligation d’être tuteur : un principe de subsidiarité à l'épreuve de l'article 4 CEDH, in Revue de la protection des mineurs et des adultes [RMA] 2011, pp. 263 ss, spéc. p. 268). Il ressort du Message que de « lourdes charges professionnelles ou familiales existantes ou imminentes ou encore l’exercice de fonctions publiques » peuvent notamment constituer de justes motifs au sens de l’art. 400 al. 2 CC (FF 2006 p. 6683). Indépendamment de la disponibilité du curateur, le critère déterminant pour la nomination d'une personne est son aptitude à accomplir les tâches qui lui seront confiées (Message, FF 2006 p. 6683). L'aptitude à occuper la fonction de curateur suppose en particulier que la personne choisie puisse être investie de cette charge, autrement dit que cette mission soit pour elle supportable physiquement et psychiquement (Schnyder/Murer, Berner Kommentar, 1984, n. 59 ad art. 379 aCC, pp. 702-703, point de vue qui demeure valable sous l'empire du nouveau droit). Des raisons médicales peuvent ainsi représenter un juste motif au sens de l’art. 400 al. 2 CC (Reusser, Basler Kommentar, op. cit., n. 48 ad art. 400 CC, p. 294).</w:t>
      </w:r>
    </w:p>
    <w:p>
      <w:r>
        <w:t>- 7 - c) En l’espèce, l’assesseur n’a pas fait état du stress du recourant dans le formulaire établi lors de l’entretien préalable du 28 janvier 2013, se bornant à indiquer qu’il convenait d’attribuer à B.________ une « curatelle légère » et soulignant les nombreux engagements de celui- ci et son inexpérience en matière de gestion de comptes. Daté du 18 octobre suivant, un certificat médical établit cependant que B.________ a consulté le Dr [...] pour une symptomatologie de fatigue et sudations, pour lesquelles le bilan physique et hormonal n’a pas permis de trouver de piste spécifique. Selon ce médecin, il s’agit vraisemblablement de manifestations d’une surcharge de travail dans le cadre de responsabilités plus importantes incombant à son patient depuis plusieurs mois. Il estime qu’à ce stress chronique s’ajoute celui de l’annonce de la nomination en qualité de curateur qui, dans cette situation, n’est pas opportune. Dans ces circonstances, la cour de céans considère que B.________ n'est pas apte à assumer la curatelle confiée et que les intérêts de N.________ risquent d'être compromis par la désignation du recourant en qualité de curateur. Par conséquent, il appartiendra à la justice de paix de nommer un nouveau curateur.</w:t>
      </w:r>
    </w:p>
    <w:p>
      <w:r>
        <w:rPr>
          <w:b/>
        </w:rPr>
        <w:t>E. 4</w:t>
      </w:r>
    </w:p>
    <w:p>
      <w:r>
        <w:t>En conclusion, le recours doit être admis, la décision entreprise annulée et la cause renvoyée à la justice de paix pour nouvelle décision dans le sens des considérants. Le présent arrêt peut être rendu sans frais judiciaires (art. 74a al. 4 TFJC [tarif du 28 septembre 2010 des frais judiciaires civils, RSV 270.11.5]).</w:t>
      </w:r>
    </w:p>
    <w:p>
      <w:r>
        <w:t>- 8 - Par ces motifs, la Chambre des curatelles du Tribunal cantonal, statuant à huis clos, prononce : I. Le recours est admis. II. La décision est annulée et la cause renvoyée à la Justice de paix du district de Lausanne pour nouvelle décision dans le sens des considérants. III. L’arrêt, rendu sans frais judiciaires, est exécutoire. Le président : La greffière : Du L'arrêt qui précède, dont la rédaction a été approuvée à huis clos, est notifié à : - M. B.________, - Mme N.________, et communiqué à : - Justice de paix du district de Lausanne,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w:t>
      </w:r>
    </w:p>
    <w:p>
      <w:r>
        <w:t>- 9 -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