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OC11.039425 vom 11. Dezember 2014</w:t>
      </w:r>
    </w:p>
    <w:p>
      <w:r>
        <w:t>VD Tribunal cantonal, 2014-12-11, FR</w:t>
      </w:r>
    </w:p>
    <w:p>
      <w:r>
        <w:rPr>
          <w:b/>
        </w:rPr>
        <w:t xml:space="preserve">Quelle: </w:t>
      </w:r>
      <w:r>
        <w:t>https://mcp.opencaselaw.ch/entscheid/vd_gerichte_OC11.039425</w:t>
      </w:r>
    </w:p>
    <w:p>
      <w:r>
        <w:t>FR: VD_GERICHTE OC11.039425 du 11 décembre 2014</w:t>
      </w:r>
    </w:p>
    <w:p>
      <w:r>
        <w:t>IT: VD_GERICHTE OC11.039425 del 11 dicembre 2014</w:t>
      </w:r>
    </w:p>
    <w:p>
      <w:pPr>
        <w:pStyle w:val="Heading2"/>
      </w:pPr>
      <w:r>
        <w:t>Erwägungen</w:t>
      </w:r>
    </w:p>
    <w:p>
      <w:r>
        <w:rPr>
          <w:b/>
        </w:rPr>
        <w:t>E. 1</w:t>
      </w:r>
    </w:p>
    <w:p>
      <w:r>
        <w:t>Par lettre du 7 avril 2011, [...], née le [...] 1929, a écrit à la Justice de paix du district de Lausanne qu’ayant atteint un certain âge et étant atteinte dans sa santé, elle souhaitait qu’une personne avisée et responsable prenne en charge ses affaires courantes, soit son courrier et le règlement des factures qui la concernaient. Par courrier du 2 mai 2011, la justice de paix a informé J.________ qu’elle avait prévu, dans le cadre de ses tâches tutélaires, de le nommer prochainement tuteur, respectivement curateur. Le 16 mai 2011, J.________ a attesté qu’un entretien préalable avait eu lieu avec un juge assesseur de la justice de paix, lequel a précisé, dans son formulaire, que le candidat était d’accord de prendre en charge une curatelle simple (si possible en EMS).</w:t>
      </w:r>
    </w:p>
    <w:p>
      <w:r>
        <w:t>- 4 - J.________, né le [...] 1970, est ingénieur. Il est marié et père de deux enfants en bas âge. Il vit à Pully. Son travail le contraint à de fréquents déplacements. [...] a été entendue par le juge de paix le 7 juin 2011. Elle a signé une demande de curatelle volontaire à forme de l’art. 394 aCC et précisé qu’elle n’avait personne à proposer en qualité de curateur. Par décision du 14 juin 2011, adressée pour notification le 21 octobre 2011, la justice de paix a institué une curatelle volontaire au sens de l’art. 394 aCC en faveur de [...] et nommé J.________ en qualité de curateur. Elle retenait en substance qu’en raison de son âge et de problèmes de santé, la personne intéressée avait besoin d’être aidée dans la gestion de sa situation financière et administrative et qu’une mesure de curatelle lui procurerait l’aide nécessaire à cet égard. Selon inventaire d’entrée (art. 398 aCC) signé par le curateur le 30 novembre 2011, les actifs en espèces de [...] auprès de la Banque Cantonale Vaudoise (ci-après : BCV) totalisaient 59'811 fr. 55. Le 5 décembre 2011, le curateur a établi un budget prévisionnel pour l’année 2012 d’un montant de 60'000 francs. Le 22 décembre 2011, la justice de paix a autorisé J.________ à exploiter à concurrence de ce montant les comptes ouverts auprès de la BCV au nom de [...]. Par courriel du 2 janvier 2012, rappelant que [...] était très faible et ne pouvait pas se déplacer, J.________ a requis de la justice de paix qu’elle autorise [...], voisin de la personne concernée, à retirer pour elle à la banque, comme il faisait depuis des années, un montant de 1'000 fr. au maximum tous les deux mois. Le 6 janvier 2012, [...] a écrit à la BCV qu’elle donnait procuration à [...], avec l’accord de son curateur, pour effectuer de tels retraits, précisant qu’elle avait par le passé donné son autorisation à ce dernier pour qu’il puisse retirer de l’argent de son compte. Par lettre du 3 février 2012, J.________ a sollicité de la justice de paix qu’elle établisse une procuration en faveur de [...], laquelle lui a répondu, le 16 février 2012, qu’elle n’était pas en mesure d’autoriser un</w:t>
      </w:r>
    </w:p>
    <w:p>
      <w:r>
        <w:t>- 5 - tiers à gérer le compte de la personne concernée, même pour des retraits limités. Le compte de [...] laissait apparaître une fortune nette de 58'620 fr. 41 au 31 décembre 2012. Par courrier recommandé du 22 octobre 2013, le juge de paix a écrit au curateur qu’il avait approuvé, dans sa séance du 19 septembre 2013, le compte annuel 2012, le remerciant de son travail et confirmant celui-ci dans son mandat.</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w:t>
      </w:r>
    </w:p>
    <w:p>
      <w:r>
        <w:t>- 6 -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â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w:t>
      </w:r>
    </w:p>
    <w:p>
      <w:r>
        <w:t>- 7 - l'adulte et de l'enfant, la maxime inquisitoire illimitée est applicable, de sorte que les restrictions posées par l'art. 317 CPC pour l'introduction de faits ou moyens de preuve nouveaux sont inapplicables (cf. JT 2011 III 43 ; CCUR 28 février 2013/56).</w:t>
      </w:r>
    </w:p>
    <w:p>
      <w:r>
        <w:rPr>
          <w:b/>
        </w:rPr>
        <w:t>E. 1.2</w:t>
      </w:r>
    </w:p>
    <w:p>
      <w:r>
        <w:t>En l’espèce, le recours, motivé et interjeté en temps utile par le curateur désigné, est recevable.</w:t>
      </w:r>
    </w:p>
    <w:p>
      <w:r>
        <w:rPr>
          <w:b/>
        </w:rPr>
        <w:t>E. 2</w:t>
      </w:r>
    </w:p>
    <w:p>
      <w:r>
        <w:t>Par lettre du 29 novembre 2013, le juge de paix a écrit à [...] que compte tenu de l’entrée en vigueur du nouveau droit de la protection de l’adulte et de l’enfant au 1er janvier 2013, il envisageait de remplacer la mesure de curatelle instituée le 14 juin 2011 par celle de curatelle de représentation et de gestion et lui a imparti un délai de trente jours pour lui faire part de ses observations éventuelles. Ni [...] ni J.________ n’ont soulevé d’éléments s’opposant à cette transformation de la mesure. En d roit : 1. Le recours est dirigé contre une décision de la justice de paix confirmant J.________ dans son mandat de curateur de [...], mais en relation avec une curatelle de gestion et de représentation au sens des art. 394 al. 1 et 395 al. 1 CC.</w:t>
      </w:r>
    </w:p>
    <w:p>
      <w:r>
        <w:rPr>
          <w:b/>
        </w:rPr>
        <w:t>E. 2.1</w:t>
      </w:r>
    </w:p>
    <w:p>
      <w:r>
        <w:t>Le curateur soutient qu’il ne dispose pas du temps nécessaire à l’élargissement de ses tâches concernant la personne concernée. Il explique pouvoir assumer la gestion financière de la personne concernée uniquement. En d’autres termes, s’il est en mesure de continuer à assumer la curatelle de gestion, ajouter la curatelle de représentation serait une charge trop lourde.</w:t>
      </w:r>
    </w:p>
    <w:p>
      <w:r>
        <w:rPr>
          <w:b/>
        </w:rPr>
        <w:t>E. 2.2</w:t>
      </w:r>
    </w:p>
    <w:p>
      <w:r>
        <w:t>La décision attaquée est une décision de transformation d’une mesure de l’ancien droit en une mesure conforme au nouveau droit rendue dans le délai d’adaptation de trois ans, selon l’art. 14 al. 2 et 3 Tit. fin. CC. a) A teneur de l’art. 394 aCC, tout majeur peut être pourvu d’un curateur s’il en fait la demande et s’il se trouve dans un cas d’interdiction volontaire, c’est-à-dire s’il est empêché de gérer convenablement ses affaires par suite de faiblesse sénile, de quelque infirmité ou de son inexpérience (art. 372 aCC) ; Deschenaux/Steinauer, Personnes physiques et tutelles, 4ème éd., 2001, n° 1115 p. 418). La curatelle volontaire ne peut être limitée à des affaires déterminées et à la gestion de certains biens clairement définis ; il s’agit d’une mesure d’assistance tutélaire générale,</w:t>
      </w:r>
    </w:p>
    <w:p>
      <w:r>
        <w:t>- 8 - permettant d’assurer la gestion durable des biens de la personne protégée et une certaine assistance personnelle (Deschenaux/Steinauer, op. cit. n° 1115 p. 419 ; Langenegger, Basler Kommentar, 2ème éd., 2002, n. 4 ad art. 394 CC, p. 1921 ; CTUT 3 nov. 2003/203). Une mesure de curatelle volontaire selon l’art. 394 aCC ne doit pas nécessairement être transformée en une curatelle d’accompagnement au sens de l’art. 393 CC (TF 5A_667/2013 du 12 novembre 2013 c. 5.2). Il faut en effet examiner dans chaque cas, notamment en tenant compte des nouvelles possibilités d’aménagement, si la mesure est encore adaptée ou si elle devrait être levée ou modifiée (Geiser, CommFam, Protection de l’adulte, Berne 2013, n. 12 ad art. 14/14a Tit. fin. CC, p. 1147 ; Reusser, Basler Kommentar, op. cit., nn. 18 et 19 ad art. 14 Tit. fin. CC, pp. 748 ss). Il n’en demeure pas moins que, sans circonstances particulières, la mesure de curatelle volontaire selon l’art. 394 aCC pourra souvent être transformée en une curatelle d’accompagnement au sens de l’art. 393 CC (Geiser, loc. cit. ; Reusser, loc. cit.). Selon l’art. 393 al. 1 CC, une curatelle d’accompagnement est instituée, avec le consentement de la personne qui a besoin d’aide, lorsque celle-ci doit être assistée pour accomplir certains actes. Inspirée de la curatelle volontaire de l’ancien droit (art. 394 aCC ; Message, Feuille fédérale [FF] 2006 p. 6678), elle ne peut être instituée que si les conditions matérielles de l’art. 390 CC sont réalisées et que la personne concernée a consenti à la mesure (Meier, CommFam, op. cit., nn. 6 et 7 ad art. 393 CC, p. 424). Une curatelle d’accompagnement peut être prononcée conjointement à une curatelle de représentation ou de coopération (art. 397 CC), mais une telle combinaison ne sera en aucun cas possible si l’intéressé ne donne pas son consentement (Meier, CommFam, op. cit., n. 14 ad art. 393 CC, p. 427 ; Meier/Lukic, Introduction au nouveau droit de la protection de l’adulte, Zurich 2011, nn. 449 et 451, p. 211).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w:t>
      </w:r>
    </w:p>
    <w:p>
      <w:r>
        <w:t>- 9 - n'a pas de pouvoir coercitif. Il n'a pas non plus à établir un inventaire ou des comptes, ni à requérir le consentement de l'autorité de protection pour les actes de l'art. 416 al. 1 CC (Guide pratique COPMA, nn. 5.23 et 5.25, p. 143 ;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Meier/Lukic, op. cit., n. 463, p. 216).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CommFam, op. cit., n. 3 ad art. 395 CC, p. 450 ; Meier/Lukic, op. cit., n. 460, p. 215). Les conditions d’institution de la curatelle de gestion sont les mêmes que pour la curatelle de représentation (Meier/Lukic, op. cit., n. 472, p. 219).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w:t>
      </w:r>
    </w:p>
    <w:p>
      <w:r>
        <w:t>- 10 - personne, ou tout ou partie des revenus ou de la fortune (art. 395 aI. 1 in fine CC). La curatelle de gestion a pour objectif la protection du patrimoine. Sa mise en oeuvre peut avoir des effets indirects sur l’assistance personnelle. Cependant, les tâches d’assistance personnelle comme telles doivent faire l’objet d’une curatelle d’accompagnement (art. 393 CC) ou de représentation stricto sensu (art. 394 CC ; Meier, CommFam, op. cit., n. 13 ad art. 395 CC, p. 453).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Il n’y a pas lieu d’ordonner une curatelle de représentation et/ou de gestion si la curatelle d’accompagnement suffit aux besoins de la personne concernée (TF 5A_667/2013 du 12 novembre 2013 c. 6.1. et 6.2). b) Aux termes de l’art. 400 CC, l’autorité de protection de l’adulte nomme curateur une personne physique qui possède les aptitudes et les connaissances nécessaires â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 FF 2006, p. 6683] ; Helle, Le nouveau droit de la protection de l’adulte, 2012, p. 176). Il s’agit d’une notion de droit fédéral et l’art. 400</w:t>
      </w:r>
    </w:p>
    <w:p>
      <w:r>
        <w:t>- 11 - al. 2 CC devra être interprété uniformément sous le contrôle ultime du Tribunal fédéral, sans que les cantons disposent d’une marge de manoeuvre (Flückiger, L’obligation d’être tuteur : un principe de subsidiarité à l’épreuve de l’article 4 CEDH, in Revue de la protection des mineurs et des adultes [RMA] 2011, pp. 263 ss, spéc. p. 268). Selon le Message du Conseil fédéral, de « lourdes charges professionnelles ou familiales existantes ou imminentes ou encore l’exercice de fonctions publiques » peuvent notamment constituer de justes motifs au sens de l’art. 400 al. 2 CC (Message, FF 2006 p. 6683). Selon le rapport de la Commission d’experts pour la révision totale du droit de la tutelle et la doctrine,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 Reusser, Basler Kommentar, Erwachsenenschutz, 2012, n. 48 ad art. 400 CC, p. 294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288),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w:t>
      </w:r>
    </w:p>
    <w:p>
      <w:r>
        <w:t>- 12 - Kommentar, n. 59 ad art. 379 aCC, pp. 702 ss, point de vue qui demeure valable sous l’empire du nouveau droit). Lorsque l’intéressé formule des objections à sa nomination, l’autorité de protection doit examiner si celles-ci sont objectivement plausibles (ATF 140 III 1 c. 4.3.2 ; TF 5A_599/2013 du 29 novembre 2013 ; 5A_691/2013 du 14 janvier 2014).</w:t>
      </w:r>
    </w:p>
    <w:p>
      <w:r>
        <w:rPr>
          <w:b/>
        </w:rPr>
        <w:t>E. 2.3</w:t>
      </w:r>
    </w:p>
    <w:p>
      <w:r>
        <w:t>En l’espèce, le recourant a été désigné comme curateur par décision du 14 juin 2011. Il s’est depuis lors occupé de sa tâche avec satisfaction et ses rapports démontrent ses compétences de gestion. S’agissant de l’aspect concernant la curatelle de gestion, il y a lieu de constater que le recourant effectue son mandat de manière adéquate. Il précise d’ailleurs dans son recours qu’il est prêt à continuer à assumer cette partie de la curatelle. Ce point n’est donc pas contesté. En revanche, le recourant s’oppose à assumer l’élargissement de la curatelle en ce sens qu’il craint une augmentation de ses tâches en lien avec la curatelle de représentation, puisque la justice de paix a demandé au curateur, dans ce cadre, de représenter [...] dans les rapports avec les tiers, en particulier en matière de logement, santé, affaires sociales, administration et affaires juridiques, et de sauvegarder au mieux ses intérêts (ch. IV du dispositif). A l’examen du dossier, il apparaît qu’une partie de ces tâches, à tout le moins, a déjà été exécutée par le curateur dans le cadre de l’assistance personnelle à la personne concernée qui lui incombait sous l’ancien régime. En effet, le recourant par exemple a eu des contacts avec un voisin qui s’occupe de la personne concernée quasiment au quotidien, a examiné dans quelle mesure de l’argent de poche pouvait être remis à ce dernier à l’usage de celle-ci, a fait la démarche auprès de la justice de paix. Globalement, la différence de charge entre les deux types de mandat devrait être minime, d’autant plus que la personne concernée n’a pas été privée de l’exercice de ses droits civils au sens de l’art. 394 al. 2 CC et que</w:t>
      </w:r>
    </w:p>
    <w:p>
      <w:r>
        <w:t>- 13 - la curatelle volontaire de l’ancien droit offrait à celle-ci une aide globale. En d’autres termes, la personne concernée peut toujours effectuer et s’engager par les actes de la vie courante, ce qui n’impose pas au curateur un suivi de tous les instants (Meier, CommFam, nn. 20 et 24 ad art. 394 CC). Certes, il est incontestable que le curateur ne dispose que de peu de temps pour lui et que la curatelle en question lui demande un gros effort, en sus de son travail et de la préservation de sa vie de famille. Il apparaît toutefois que, si la curatelle sous sa forme quelque peu élargie devait s’avérer trop lourde à l’usage, il pourra saisir l’autorité intimée, qui réexaminera dans quelle mesure il est encore à même d’assumer cette charge. Il en ira de même si la situation personnelle de la personne concernée devait s’aggraver et nécessiter une attention et des démarches plus soutenues.</w:t>
      </w:r>
    </w:p>
    <w:p>
      <w:r>
        <w:rPr>
          <w:b/>
        </w:rPr>
        <w:t>E. 3</w:t>
      </w:r>
    </w:p>
    <w:p>
      <w:r>
        <w:t>En conclusion, le recours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w:t>
      </w:r>
    </w:p>
    <w:p>
      <w:r>
        <w:t>- 14 - III. L’arrêt est rendu sans frais judiciaires.</w:t>
      </w:r>
    </w:p>
    <w:p>
      <w:r>
        <w:t>- 15 - IV. L'arrêt motivé est exécutoire. La présidente : Le greffier : Du 11 décembre 2014 Le dispositif de l'arrêt qui précède est communiqué par écrit aux intéressés. Le greffier : Du L'arrêt qui précède, dont la rédaction a été approuvée à huis clos, est notifié à : - M. J.________, - Mme [...], et communiqué à : - Justice de paix du district de Lausanne,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