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OC06.038766 vom 1. Dezember 2025</w:t>
      </w:r>
    </w:p>
    <w:p>
      <w:r>
        <w:t>VD Tribunal cantonal, 2025-12-01, FR</w:t>
      </w:r>
    </w:p>
    <w:p>
      <w:r>
        <w:rPr>
          <w:b/>
        </w:rPr>
        <w:t xml:space="preserve">Quelle: </w:t>
      </w:r>
      <w:r>
        <w:t>https://mcp.opencaselaw.ch/entscheid/vd_gerichte_OC06.038766</w:t>
      </w:r>
    </w:p>
    <w:p>
      <w:r>
        <w:t>FR: VD_GERICHTE OC06.038766 du 1 décembre 2025</w:t>
      </w:r>
    </w:p>
    <w:p>
      <w:r>
        <w:t>IT: VD_GERICHTE OC06.038766 del 1 dicembre 2025</w:t>
      </w:r>
    </w:p>
    <w:p>
      <w:pPr>
        <w:pStyle w:val="Heading2"/>
      </w:pPr>
      <w:r>
        <w:t>Erwägungen</w:t>
      </w:r>
    </w:p>
    <w:p>
      <w:r>
        <w:rPr>
          <w:b/>
        </w:rPr>
        <w:t>E. 1.1</w:t>
      </w:r>
    </w:p>
    <w:p>
      <w:r>
        <w:t>Le recours est dirigé contre une décision de la justice de paix maintenant un avocat en qualité de curateur de représentation et de gestion de la personne concernée.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w:t>
      </w:r>
    </w:p>
    <w:p>
      <w:r>
        <w:t>- 8 -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compagne de la personne concernée, qui a participé à la procédure de première instance et à laquelle la qualité de proche doit être reconnue, le</w:t>
      </w:r>
    </w:p>
    <w:p>
      <w:r>
        <w:t>- 9 - présent recours est recevable. Il en va de même des pièces produites en deuxième instance, si tant est qu'elles ne figurent pas déjà au dossier. L’autorité de protection a été consultée conformément à l’art. 450d CC ; l’intéressé, le curateur et la personne proposée comme curateur ont été invités à se déterminer, ce qu’ils ont fait.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C.________ et la recourante ont été entendus par la justice de paix lors de l’audience du 10 mars 2025. Me D.________ et A.________ ont également été entendus à cette occasion. Le droit d’être entendu de chacun a ainsi été respecté. La décision entreprise est donc formellement correcte et peut être examinée sur le fond.</w:t>
      </w:r>
    </w:p>
    <w:p>
      <w:r>
        <w:t>- 10 -</w:t>
      </w:r>
    </w:p>
    <w:p>
      <w:r>
        <w:rPr>
          <w:b/>
        </w:rPr>
        <w:t>E. 3.1.1</w:t>
      </w:r>
    </w:p>
    <w:p>
      <w:r>
        <w:t>La recourante soutient que rien ne justifie de ne pas donner suite au souhait de C.________, exprimé à maintes reprises, de voir son ami de longue date A.________ désigné en qualité de curateur. Elle affirme que ce dernier dispose des compétences requises, ayant exercé un mandat de curateur durant quinze ans. Elle ajoute que l’intéressé et Me D.________ ont rencontré des difficultés relationnelles, confirmées par l’avocat à l’audience du 10 mars 2025, qui ont rendu la collaboration compliquée. La recourante fait valoir que la seule perspective de la procédure de divorce ne justifie pas le maintien de Me D.________ comme curateur. Elle considère que le cumul des fonctions d’avocat et de curateur s’avère peu productif et plus coûteux. Elle relève qu’il aurait été possible de désigner A.________ en qualité de curateur et Me D.________ comme curateur substitut pour la procédure de divorce ou de prévoir, dans les attributions du curateur, la faculté de mandater un avocat. La recourante constate que la procédure de divorce ne progresse pas depuis de nombreuses années. Elle observe qu’en six ans, aucune démarche n’a été entreprise par le curateur dans ce dossier, hormis des échanges téléphoniques et épistolaires avec la consœur adverse.</w:t>
      </w:r>
    </w:p>
    <w:p>
      <w:r>
        <w:rPr>
          <w:b/>
        </w:rPr>
        <w:t>E. 3.1.2</w:t>
      </w:r>
    </w:p>
    <w:p>
      <w:r>
        <w:t>Dans ses déterminations du 6 novembre 2025, Me D.________ déclare que son remplacement ne peut intervenir uniquement en raison de la volonté de la personne concernée ou de ses proches et qu’il doit exister des justes motifs, dont il conteste l’existence. Il affirme n’avoir commis ni négligences graves ou répétées, ni abus, et qu’il n’y a pas de rupture insurmontable du lien de confiance existant entre l’intéressé et lui. Il expose que le 4 novembre 2025, il a discuté avec C.________, qui lui a dit avoir été mécontent de quitter son domicile. Il lui a alors rappelé que dès le début de son mandat, il l’avait informé qu’un déménagement serait nécessaire après quelques années pour des questions financières. C’est finalement C.________ lui-même qui lui avait demandé d’organiser son</w:t>
      </w:r>
    </w:p>
    <w:p>
      <w:r>
        <w:t>- 11 - déménagement à l’EMS, avant même que sa situation financière ne l’y oblige. Me D.________ souligne qu’il s’est rendu à plusieurs reprises au domicile de l’intéressé afin de s’assurer qu’il exprimait correctement et de manière fondée sa volonté. Me D.________ constate que C.________ n’a formulé aucune critique quant à la gestion de la curatelle, mais a en revanche exprimé sa satisfaction de vivre avec sa compagne, notamment d’avoir obtenu un logement grâce à ses démarches. Il observe que de manière générale, l’intéressé souhaite ne plus être placé sous curatelle, disposer d’un logement plus grand et ne plus bénéficier de soins autres que ceux fournis par B.________. Il relève qu’il n’a toutefois pas pu lui expliquer en quoi la levée de la curatelle ou un changement de curateur changerait son quotidien.</w:t>
      </w:r>
    </w:p>
    <w:p>
      <w:r>
        <w:rPr>
          <w:b/>
        </w:rPr>
        <w:t>E. 3.2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w:t>
      </w:r>
    </w:p>
    <w:p>
      <w:r>
        <w:t>- 12 - de la personne en charge du mandat (Meier,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du 12 décembre 2019 consid. 3.2.1 ; TF 5A_228/2018 du 30 avril 2018 consid. 4.2.1 ; TF 5A_904/2014 du 17 mars 2015 consid. 2.2 ; Meier,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(Meier, op. cit., nn. 962 et 963, pp. 505 ss et les références citées ; Häfeli, Commentaire du droit de la famille, Protection de l’adulte, Berne 2013, ci- après : CommFam, n. 2 ad art. 401 CC, p. 519).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t>- 13 - L'autorité de protection de l'adulte doit veiller à ce qu'il n'y ait pas de conflit d'intérêts entre la personne à protéger et celle qui est pressentie comme curatrice (Reusser, Basler Kommentar, n. 14 ad art. 401 CC, p. 2524 ;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Fountoulakis, in Pichonnaz/Foëx/Fountoulakis [éd.], Commentaire romand, Code civil I, Art. 1-456 CC, 2e éd., Bâle 2024, n. 10 ad art. 403 CC, p. 2879 ; Meier, op. cit., n. 976, p. 512 et les références citées ; Steinauer/Fountoulakis, Droit des personnes physiques et de la protection de l'adulte, Berne 2014, n. 1239, p. 550).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w:t>
      </w:r>
    </w:p>
    <w:p>
      <w:r>
        <w:rPr>
          <w:b/>
        </w:rPr>
        <w:t>E. 3.3</w:t>
      </w:r>
    </w:p>
    <w:p>
      <w:r>
        <w:t>En l’espèce, Me D.________ s’est opposé à un allègement de la curatelle instituée en faveur de C.________ au motif que la collaboration avec ce dernier pourrait être difficile. La décision attaquée le confirme</w:t>
      </w:r>
    </w:p>
    <w:p>
      <w:r>
        <w:t>- 14 - comme curateur en raison de la procédure de divorce à venir. Il ne paraît toutefois pas nécessaire de le maintenir en qualité de curateur de représentation et de gestion. Il suffit que le curateur désigné soit autorisé à mandater un avocat - Me D.________ ou un autre - pour représenter l’intéressé dans la procédure de divorce, qui n’a pas encore débuté. C.________ a exprimé maintes fois son souhait de voir son ami A.________ désigné curateur. La justice de paix n’a émis aucune réserve quant aux aptitudes de ce dernier. En outre, Me D.________ l’a rencontré à plusieurs reprises et a pu constater qu’il possédait de bonnes compétences administratives. A.________ peut donc être désigné en qualité de curateur de C.________, ce qui permettra d’instaurer un climat de confiance.</w:t>
      </w:r>
    </w:p>
    <w:p>
      <w:r>
        <w:rPr>
          <w:b/>
        </w:rPr>
        <w:t>E. 4</w:t>
      </w:r>
    </w:p>
    <w:p>
      <w:r>
        <w:t>En conclusion, le recours de B.________ doit être admis et la décision entreprise réformée aux chiffres IV à V de son dispositif dans le sens du considérant qui précède. Elle est confirmée pour le surplus. Le présent arrêt peut être rendu sans frais judiciaires (art. 74a al. 4 TFJC [Tarif du 28 septembre 2010 des frais judiciaires civils ; BLV 270.11.5]), l’avance de frais de 300 fr. versée par la recourante lui étant restituée. Quand bien même la recourante obtient de cause et a procédé par l’intermédiaire d’un avocat, il n’y a pas lieu de lui allouer de dépens de deuxième instance, la justice de paix n'ayant pas qualité de partie, mais d'autorité de première instance, de sorte qu’elle ne saurait être condamnée à des dépens (Tappy, Commentaire romand, Code de procédure civile, 2e éd., Bâle 2019, n. 35 ad art. 107 CPC, p. 495 ; ATF 140 II 385 consid. 4.1 et 4.2).</w:t>
      </w:r>
    </w:p>
    <w:p>
      <w:r>
        <w:t>- 15 - Par ces motifs, la Chambre des curatelles du Tribunal cantonal, statuant à huis clos, prononce : I. Le recours est admis. II. La décision est réformée aux chiffres IV et V de son dispositif comme il suit : IV. nomme A.________, au Q***, en qualité de curateur ; V. dit que le curateur exercera désormais les tâches suivantes : Inchangé - assister C.________ dans le cadre de la procédure de divorce à intervenir, le curateur étant d’ores et déjà autorisé à mandater un avocat pour représenter C.________ dans ladite procédure. Elle est confirmée pour le surplus. III. L'arrêt est rendu sans frais judiciaires de deuxième instance, l’avance de 300 fr. (trois cents francs) effectuée par la recourante B.________ lui étant restituée. IV. L'arrêt est exécutoire. La présidente : La greffière :</w:t>
      </w:r>
    </w:p>
    <w:p>
      <w:r>
        <w:t>- 16 - Du L'arrêt qui précède, dont la rédaction a été approuvée à huis clos, est notifié à : - Me F.________ (pour Mme B.________), - Me D.________, - M. C.________, - M. A.________, et communiqué à : - M. le Juge de paix du district de Lausanne, - Service de la population, Centre administratif de l’Etat civil, Centre de numérisation, - Municipalité de la commune d’U***,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