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ND13.007437 vom 30. Juli 2015</w:t>
      </w:r>
    </w:p>
    <w:p>
      <w:r>
        <w:t>VD Tribunal cantonal, 2015-07-30, FR</w:t>
      </w:r>
    </w:p>
    <w:p>
      <w:r>
        <w:rPr>
          <w:b/>
        </w:rPr>
        <w:t xml:space="preserve">Quelle: </w:t>
      </w:r>
      <w:r>
        <w:t>https://mcp.opencaselaw.ch/entscheid/vd_gerichte_ND13.007437</w:t>
      </w:r>
    </w:p>
    <w:p>
      <w:r>
        <w:t>FR: VD_GERICHTE ND13.007437 du 30 juillet 2015</w:t>
      </w:r>
    </w:p>
    <w:p>
      <w:r>
        <w:t>IT: VD_GERICHTE ND13.007437 del 30 luglio 2015</w:t>
      </w:r>
    </w:p>
    <w:p>
      <w:pPr>
        <w:pStyle w:val="Heading2"/>
      </w:pPr>
      <w:r>
        <w:t>Erwägungen</w:t>
      </w:r>
    </w:p>
    <w:p>
      <w:r>
        <w:rPr>
          <w:b/>
        </w:rPr>
        <w:t>E. 1</w:t>
      </w:r>
    </w:p>
    <w:p>
      <w:r>
        <w:t>Le recours est dirigé contre une décision du juge de paix refusant à P.________ l’accès au dossier de la curatelle de feue sa tante E.________.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5e éd., Bâle 2014, n. 42 ad art. 450 CC, p. 2624). L’art. 446 al. 1 CC prévoit que l'autorité de protection de l'adulte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Basler Kommentar, op. cit., n. 7 ad 450a CC, p. 2626, et les auteurs cités). b) En l’espèce, le recours, motivé, a été interjeté en temps utile. La qualité pour recourir doit être reconnue à P.________, neveu de feue E.________, directement concerné par la décision querellée. Le recours est en conséquence recevable. Il en va de même des pièces produites en deuxième instance, si tant est qu’elles ne figurent pas déjà au dossier.</w:t>
      </w:r>
    </w:p>
    <w:p>
      <w:r>
        <w:rPr>
          <w:b/>
        </w:rPr>
        <w:t>E. 2</w:t>
      </w:r>
    </w:p>
    <w:p>
      <w:r>
        <w:t>La Chambre des curatelles doit procéder à un examen complet de la décision attaquée, en fait, en droit et en opportunité (art. 450a CC),</w:t>
      </w:r>
    </w:p>
    <w:p>
      <w:r>
        <w:t>- 6 -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w:t>
      </w:r>
    </w:p>
    <w:p>
      <w:r>
        <w:rPr>
          <w:b/>
        </w:rPr>
        <w:t>E. 3</w:t>
      </w:r>
    </w:p>
    <w:p>
      <w:r>
        <w:t>Le recourant souhaite avoir accès aux documents relatifs à la curatelle de sa tante défunte. Il fait valoir qu’afin de s’assurer de la régularité de l’institution d’héritier, il lui est nécessaire d’être précisément renseigné, par le dossier de la curatelle, sur l’état du patrimoine de feue sa tante à l’instauration de la mesure de protection et sur son évolution jusqu’au décès, ainsi que sur les interventions du curateur, s’agissant notamment des avoirs bancaires de l’intéressée, ainsi que des contrats d’assurance susceptibles d’avoir été conclus avec la Vaudoise Assurances. a) L’art. 449b CC fixe les conditions d’accès à un dossier en cours en matière de protection de l’adulte et de l’enfant. Cette disposition, dont le but est de garantir le respect des droits procéduraux, concerne uniquement les procédures pendantes. Une fois la procédure terminée et le dossier archivé, l’accès au dossier est réglé par l’art. 29 al. 2 Cst. (Constitution fédérale du 18 avril 1999, RS 101), alors seul applicable (Auer/Marti, Basler Kommentar, op. cit. n. 28 ad art. 449b CC, p. 2608). La jurisprudence relative à l'art. 29 al. 2 Cst. déduit de la garantie du droit d'être entendu prévu par cette disposition le droit d'une personne touchée par une procédure de consulter des éléments d'un dossier, même clos, à la condition qu'elle justifie d’un intérêt particulièrement digne de protection et qu'aucun intérêt public prépondérant et aucun intérêt légitime de tiers ne s'opposent à la</w:t>
      </w:r>
    </w:p>
    <w:p>
      <w:r>
        <w:t>- 7 - consultation (ATF 130 III 42; ATF 129 I 249 c. 3; ATF 126 I 7 c. 2b). Le droit à la consultation du dossier s'étend en principe à tous les documents qui sont importants pour la prise de décision. Seul l'accès à des documents internes à l'administration peut être refusé, soit les pièces qui n'ont pas de caractère de preuve dans une procédure, mais servent uniquement à forger l'opinion interne de l'administration et sont destinées à un seul usage interne (ATF 2008/14 du 14 avril 2008, JT 2009 I 687). b) Les droits de la personnalité prennent fin avec la mort (art. 31 CC). Si l’ordre juridique admet parfois une prolongation de la protection, selon la conception retenue en Suisse, cette prolongation de la protection de la personnalité ne tient pas au fait que toute personne peut, de son vivant, espérer que son image personnelle ne sera pas profanée après sa mort, mais bien plutôt à la volonté de protéger le sentiment de piété des proches survivants: la protection s’étend aussi aux sentiments intimes qui comprennent le sentiment de piété envers les proches décédés, les souvenirs d’événements communs importants, de circonstances particulières qui attachent les uns aux autres et qui s’incorporent en quelque sorte à la personnalité (ATF 70 lI 127 c. 2; pour une protection “post mortem” de la personnalité, cf. Ott/Grieder, Plädoyer für den postmortalen Persönlichkeitsschutz, in Pratique juridique actuelle [PJA] 2001 pp. 627-631). c) En l’espèce, E.________ étant décédée, sa personnalité n’est en principe plus protégée, sous réserve des informations purement médicales, couvertes par le secret au-delà de la mort. Seuls ses héritiers pourraient s’opposer à la transmission de données qui figurent au dossier. Or, c’est un neveu de la défunte qui requiert l’accès au dossier. En outre, celui-ci ne contient pas d’informations médicales, il n’y a notamment ni expertise ni rapport de médecin. Les éléments requis sont essentiellement financiers, le recourant demandant accès aux comptes de la curatelle. Tout au plus pourrait-il s’intéresser au signalement d’Arcos ou à la décision d’institution de la mesure pour essayer d’y trouver des éléments permettant d’invalider le testament. Dans la mesure où il n’y a pas d’intérêt de tiers à protéger, il n’y a aucun motif d’empêcher le recourant</w:t>
      </w:r>
    </w:p>
    <w:p>
      <w:r>
        <w:t>- 8 - d’accéder au dossier de la curatelle. Au demeurant, comme l’a relevé ce dernier, s’il est vrai que la production du dossier pourra être ordonnée dans le cadre de la procédure au fond, on ne saurait exiger de l’héritier légal qu’il ouvre action contre l’héritier institué sans avoir pu au préalable confronter les éléments qui l’ont amené à former opposition au testament à ceux qui sont susceptibles de ressortir du dossier de la curatelle. Enfin, le curateur a déclaré ne pas s’opposer à la consultation du dossier.</w:t>
      </w:r>
    </w:p>
    <w:p>
      <w:r>
        <w:rPr>
          <w:b/>
        </w:rPr>
        <w:t>E. 4</w:t>
      </w:r>
    </w:p>
    <w:p>
      <w:r>
        <w:t>En conclusion, le recours interjeté par P.________ doit être admis et la décision entreprise réformée en ce sens que le prénommé est autorisé à accéder au dossier de la curatelle de feue E.________. Le présent arrêt peut être rendu sans frais judiciaires (art. 74a al. 4 TFJC [Tarif du 28 septembre 2010 des frais judiciaires civils, RSV 270.11.5]). Quand bien même il obtient gain de cause, le recourant n’a pas droit à des dépens de deuxième instance, le juge de paix n’ayant pas qualité de partie, mais d’autorité de première instance, de sorte qu’il ne peut être condamné à des dépens, (cf. Tappy, Code de procédure civile commenté, Bâle 2011, n. 34 ad art. 107 CPC, p. 426; JT 2001 III 121). Par ces motifs, la Chambre des curatelles du Tribunal cantonal, statuant à huis clos, prononce : I. Le recours est admis. II. La décision est réformée en ce sens que P.________ est autorisé à accéder au dossier de la curatelle de feue E.________.</w:t>
      </w:r>
    </w:p>
    <w:p>
      <w:r>
        <w:t>- 9 - III. L’arrêt est rendu sans frais. IV. L'arrêt motivé est exécutoire. La présidente : La greffière : Du 30 juillet 2015 Le dispositif de l'arrêt qui précède est communiqué par écrit aux intéressés. La greffière : Du L'arrêt qui précède, dont la rédaction a été approuvée à huis clos, est notifié à : - Me Jean-Luc Subilia (pour P.________), - Me Denis Bettems (pour A.________), - Me Grégory Melville, et communiqué à : - Juge de paix du district de Lausanne, par l'envoi de photocopies.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