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MP23.055941 vom 8. Mai 2025</w:t>
      </w:r>
    </w:p>
    <w:p>
      <w:r>
        <w:t>VD Tribunal cantonal, 2025-05-08, FR</w:t>
      </w:r>
    </w:p>
    <w:p>
      <w:r>
        <w:rPr>
          <w:b/>
        </w:rPr>
        <w:t xml:space="preserve">Quelle: </w:t>
      </w:r>
      <w:r>
        <w:t>https://mcp.opencaselaw.ch/entscheid/vd_gerichte_MP23.055941</w:t>
      </w:r>
    </w:p>
    <w:p>
      <w:r>
        <w:t>FR: VD_GERICHTE MP23.055941 du 8 mai 2025</w:t>
      </w:r>
    </w:p>
    <w:p>
      <w:r>
        <w:t>IT: VD_GERICHTE MP23.055941 del 8 maggio 2025</w:t>
      </w:r>
    </w:p>
    <w:p>
      <w:pPr>
        <w:pStyle w:val="Heading2"/>
      </w:pPr>
      <w:r>
        <w:t>Erwägungen</w:t>
      </w:r>
    </w:p>
    <w:p>
      <w:r>
        <w:rPr>
          <w:b/>
        </w:rPr>
        <w:t>E. 1</w:t>
      </w:r>
    </w:p>
    <w:p>
      <w:r>
        <w:t>Aux termes de l’art. 315 al. 2 let. b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w:t>
      </w:r>
    </w:p>
    <w:p>
      <w:r>
        <w:t>- 3 -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 TF 5A_752/2023 du 24 janvier 2024 consid. 5.3.1) et dispose d'un large pouvoir d'appréciation permettant de tenir compte des circonstances concrètes du cas d'espèce (ATF 138 III 565 consid. 4.3.1, JdT 2015 II 408 ; ATF 138 III 378 consid. 6.3 ; TF 5A_223/2022 du 29 août 2022 consid. 3.1.1).</w:t>
      </w:r>
    </w:p>
    <w:p>
      <w:r>
        <w:rPr>
          <w:b/>
        </w:rPr>
        <w:t>E. 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 TF 5A_233/2016 du 26 mai 2016 consid. 1.3.2.2 ; TF 5A_468/2012 du 14 août 2012). L’obligation d’entretien trouve toutefois sa limite inférieure dans la capacité contributive du débirentier, en ce sens que le minimum vital du droit des poursuites de celui-ci doit être préservé (ATF 140 III 337 consid. 4.3 ; TF 5A_59/2024 du 9 octobre 2024 consid. 3.1.1).</w:t>
      </w:r>
    </w:p>
    <w:p>
      <w:r>
        <w:rPr>
          <w:b/>
        </w:rPr>
        <w:t>E. 2.2</w:t>
      </w:r>
    </w:p>
    <w:p>
      <w:r>
        <w:t>A l’appui de son appel et de sa requête d’effet suspensif, le requérant fait valoir que la contribution d’entretien mise à sa charge à hauteur de 1’200 fr. porterait atteinte à son minimum vital strict. Il critique le calcul du minimum vital effectué par la présidente, exposant que son revenu aurait été surévalué, en ce sens qu’il ne percevrait qu’un revenu moyen de 1'863.20 euros au maximum, à savoir 1'127.18 euros de rente invalidité et 736 euros pour son activité d’indépendant. Il reproche également à la présidente d’avoir retenu comme revenus les donations qu’il a reçues de ses parents afin de l’aider dans ses difficultés financières. Enfin, il n’aurait pas été tenu compte de certaines de ses charges,</w:t>
      </w:r>
    </w:p>
    <w:p>
      <w:r>
        <w:t>- 4 - notamment de la totalité de ses frais de logement, alors même qu’il s’acquitterait seul des charges de sa nouvelle famille.</w:t>
      </w:r>
    </w:p>
    <w:p>
      <w:r>
        <w:rPr>
          <w:b/>
        </w:rPr>
        <w:t>E. 2.3</w:t>
      </w:r>
    </w:p>
    <w:p>
      <w:r>
        <w:t>On ne saurait à ce stade préjuger dans un sens ou l’autre des moyens soulevés dans l’appel. En outre, le requérant n’explique pas dans quelle mesure le versement de la contribution d’entretien mise à sa charge porterait atteinte à son minimum vital strict, compte tenu notamment des indices au dossier qui, prima facie, montrent qu’il reçoit une aide financière de sa famille de manière régulière et dont le montant n’est pas négligeable. Il ne prétend pas non plus qu'il serait impossible de récupérer le montant d'un éventuel indu puisqu'il soutient que P.________ jouit d’un disponible confortable, étant rappelé que la dette d’aliment est prioritaire et nécessaire à la couverture des besoins de son fils. Dès lors que le requérant ne rend pas vraisemblable l’existence d’un préjudice difficilement réparable, il convient de s’en tenir à la règle de l’art. 315 al. 2 let. b CPC et de rejeter la requête d’effet suspensif. La courte durée de la procédure d’appel, s’agissant de mesures provisionnelles, justifie d’autant plus le rejet la requête.</w:t>
      </w:r>
    </w:p>
    <w:p>
      <w:r>
        <w:rPr>
          <w:b/>
        </w:rPr>
        <w:t>E. 3</w:t>
      </w:r>
    </w:p>
    <w:p>
      <w:r>
        <w:t>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w:t>
      </w:r>
    </w:p>
    <w:p>
      <w:r>
        <w:t>- 5 - II. Il sera statué sur les frais judiciaires et les dépens de la présente ordonnance dans le cadre de l’arrêt sur appel à intervenir. Le juge unique : La greffière : Du La présente ordonnance, dont la rédaction a été approuvée à huis clos, est notifiée à : - Me Dévi-Victoria Dupuis (pour Z.________), - Me Nicolas Bruder (pour P.________),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