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MP22.042307 vom 30. Mai 2023</w:t>
      </w:r>
    </w:p>
    <w:p>
      <w:r>
        <w:t>VD Tribunal cantonal, 2023-05-30, FR</w:t>
      </w:r>
    </w:p>
    <w:p>
      <w:r>
        <w:rPr>
          <w:b/>
        </w:rPr>
        <w:t xml:space="preserve">Quelle: </w:t>
      </w:r>
      <w:r>
        <w:t>https://mcp.opencaselaw.ch/entscheid/vd_gerichte_MP22.042307</w:t>
      </w:r>
    </w:p>
    <w:p>
      <w:r>
        <w:t>FR: VD_GERICHTE MP22.042307 du 30 mai 2023</w:t>
      </w:r>
    </w:p>
    <w:p>
      <w:r>
        <w:t>IT: VD_GERICHTE MP22.042307 del 30 maggio 2023</w:t>
      </w:r>
    </w:p>
    <w:p>
      <w:pPr>
        <w:pStyle w:val="Heading2"/>
      </w:pPr>
      <w:r>
        <w:t>Erwägungen</w:t>
      </w:r>
    </w:p>
    <w:p>
      <w:r>
        <w:rPr>
          <w:b/>
        </w:rPr>
        <w:t>E. 1</w:t>
      </w:r>
    </w:p>
    <w:p>
      <w:r>
        <w:t>Par ordonnance de mesures provisionnelles du 31 mars 2023, motivée le 1er mai 2023, la Juge de paix du district d’Aigle (ci-après : la juge de paix) a admis la requête de mesures provisionnelles déposée par V.________ SA, requérante, contre B.________, intimé (I), a ordonné à B.________ de permettre à V.________ SA d’accéder à ses installations électriques et de procéder à l'enlèvement des compteurs électriques nos [...], [...], [...], [...] et [...] sis dans l'immeuble [...], à [...], ainsi que no [...] sis dans l’immeuble [...], à [...], et ce, dans un délai de sept jours dès que cette ordonnance serait définitive, moyennant rendez-vous préalable pris avec V.________ SA (II), a dit qu'à défaut de s'exécuter volontairement, B.________ y serait contraint par la force, mesure exécutée sur requête par l'huissier de paix ou son remplaçant, avec au besoin le concours de la force publique et l'ouverture forcée des locaux (III), a imparti à V.________ SA un délai au 30 juin 2023 pour déposer la demande, sous peine de caducité des mesures provisionnelles (IV), a arrêté à 300 fr. les frais judiciaires, qui étaient compensés par l'avance de frais de V.________ SA (V), a mis les frais à la charge de B.________, a dit qu'en conséquence, celui-ci rembourserait à V.________ SA la somme de 300 fr., dont elle avait fourni l’avance (VI), n’a pas alloué de dépens (VII) et a déclaré l’ordonnance, motivée ou définitive faute de motivation, immédiatement exécutoire, nonobstant recours (VIII).</w:t>
      </w:r>
    </w:p>
    <w:p>
      <w:r>
        <w:rPr>
          <w:b/>
        </w:rPr>
        <w:t>E. 2</w:t>
      </w:r>
    </w:p>
    <w:p>
      <w:r>
        <w:t>Par acte remis à la Poste le 19 mai 2023 à destination du Tribunal cantonal, B.________ (ci-après : le recourant) a recouru contre cette ordonnance, concluant à sa nullité.</w:t>
      </w:r>
    </w:p>
    <w:p>
      <w:r>
        <w:rPr>
          <w:b/>
        </w:rPr>
        <w:t>E. 3</w:t>
      </w:r>
    </w:p>
    <w:p>
      <w:r>
        <w:t>; TF 5D_7/2020 du 11 février 2020 consid. 4.2).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w:t>
      </w:r>
    </w:p>
    <w:p>
      <w:r>
        <w:rPr>
          <w:b/>
        </w:rPr>
        <w:t>E. 3.1.1</w:t>
      </w:r>
    </w:p>
    <w:p>
      <w:r>
        <w:t>Le recours est recevable contre les décisions finales, incidentes et provisionnelles de première instance qui ne peuvent pas</w:t>
      </w:r>
    </w:p>
    <w:p>
      <w:r>
        <w:t>- 3 - faire l’objet d’un appel (art. 319 let. a CPC [Code de procédure civile du 19 décembre 2010 ; RS 272]). Il en va ainsi, notamment, dans les affaires patrimoniales, lorsque la valeur litigieuse au dernier état des conclusions est inférieure à 10'000 fr. (art. 308 al. 2 CPC).</w:t>
      </w:r>
    </w:p>
    <w:p>
      <w:r>
        <w:rPr>
          <w:b/>
        </w:rPr>
        <w:t>E. 3.1.2</w:t>
      </w:r>
    </w:p>
    <w:p>
      <w:r>
        <w:t>Le recours doit être formé dans les dix jours à compter de la notification de la décision motivée ou de la notification postérieure de la motivation lorsque la décision attaquée a été rendue en procédure sommaire (art. 321 al. 2 CPC), telle une ordonnance de mesures provisionnelles (art. 248 let. d CPC). 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w:t>
      </w:r>
    </w:p>
    <w:p>
      <w:r>
        <w:rPr>
          <w:b/>
        </w:rPr>
        <w:t>E. 3.2.1</w:t>
      </w:r>
    </w:p>
    <w:p>
      <w:r>
        <w:t>En l’espèce, il ressort du dossier que V.________ SA a requis – et obtenu – devant l’autorité de première instance d’être autorisée d’accéder à ses installations et de procéder à l’enlèvement des compteurs</w:t>
      </w:r>
    </w:p>
    <w:p>
      <w:r>
        <w:t>- 4 - électriques sis dans les locaux propriétés du recourant, au motif que, selon les relevés de compte du 17 octobre 2022, les factures d’électricité impayées par ce dernier totalisaient 2'098 fr. 60. Partant, la valeur litigieuse est inférieure à 10'000 fr., de sorte que la voie du recours est ouverte contre l’ordonnance litigieuse.</w:t>
      </w:r>
    </w:p>
    <w:p>
      <w:r>
        <w:rPr>
          <w:b/>
        </w:rPr>
        <w:t>E. 3.2.2</w:t>
      </w:r>
    </w:p>
    <w:p>
      <w:r>
        <w:t>La décision querellée, ordonnant des mesures provisionnelles, est soumise à la procédure sommaire (art. 248 let. d CPC). Le délai pour recourir à son encontre est ainsi de dix jours (321 al. 2 CPC). L’ordonnance entreprise a été envoyée pour notification au recourant sous pli recommandé le 1er mai 2023. Selon le « Suivi des envois » de la Poste suisse, cette décision lui a été distribuée le samedi 6 mai 2023. Partant, conformément à l’art. 138 al. 2 CPC, la décision litigieuse a été notifiée à l’intéressé à cette date. Il en résulte que le délai de recours de dix jours a commencé à courir le dimanche 7 mai 2023, pour expirer le mardi 16 mai 2023. Compte tenu de ce qui précède, le recours remis le 19 mai 2023 à la Poste suisse se révèle manifestement tardif et, par conséquent, irrecevable.</w:t>
      </w:r>
    </w:p>
    <w:p>
      <w:r>
        <w:rPr>
          <w:b/>
        </w:rPr>
        <w:t>E. 3.3</w:t>
      </w:r>
    </w:p>
    <w:p>
      <w:r>
        <w:t>Par surabondance, par son mémoire, lequel est incompréhensible, le recourant ne discute aucunement des considérants de l’ordonnance entreprise et n’explique pas en quoi cette décision violerait le droit ou constaterait des faits de manière manifestement inexacte (cf. art. 320 CPC). Partant, faute de motivation suffisante au sens de l’art. 321 al. 1 CPC, le recours est également irrecevable (ATF 147 III 176 consid. 4.2.1 et les réf. citées ; ATF 141 III 569 consid. 2.3.3 et les réf. citées ; TF 4A_462/2022 du 6 mars 2023 consid. 5.1.1).</w:t>
      </w:r>
    </w:p>
    <w:p>
      <w:r>
        <w:rPr>
          <w:b/>
        </w:rPr>
        <w:t>E. 4</w:t>
      </w:r>
    </w:p>
    <w:p>
      <w:r>
        <w:t>- 5 -</w:t>
      </w:r>
    </w:p>
    <w:p>
      <w:r>
        <w:rPr>
          <w:b/>
        </w:rPr>
        <w:t>E. 4.1</w:t>
      </w:r>
    </w:p>
    <w:p>
      <w:r>
        <w:t>Au vu de ce qui précède, le recours doit être déclaré irrecevable selon le mode procédural de l’art. 322 al. 1 CPC</w:t>
      </w:r>
    </w:p>
    <w:p>
      <w:r>
        <w:rPr>
          <w:b/>
        </w:rPr>
        <w:t>E. 4.2</w:t>
      </w:r>
    </w:p>
    <w:p>
      <w:r>
        <w:t>Le présent arrêt peut être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est rendu sans frais judiciaires de deuxième instance. La présidente : Le greffier : Du L'arrêt qui précède, dont la rédaction a été approuvée à huis clos, est notifié à : - M. B.________, - V.________ SA. La Chambre des recours civile considère que la valeur litigieuse est inférieure à 30’000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