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MP22.040430 vom 9. Januar 2025</w:t>
      </w:r>
    </w:p>
    <w:p>
      <w:r>
        <w:t>VD Tribunal cantonal, 2025-01-09, FR</w:t>
      </w:r>
    </w:p>
    <w:p>
      <w:r>
        <w:rPr>
          <w:b/>
        </w:rPr>
        <w:t xml:space="preserve">Quelle: </w:t>
      </w:r>
      <w:r>
        <w:t>https://mcp.opencaselaw.ch/entscheid/vd_gerichte_MP22.040430</w:t>
      </w:r>
    </w:p>
    <w:p>
      <w:r>
        <w:t>FR: VD_GERICHTE MP22.040430 du 9 janvier 2025</w:t>
      </w:r>
    </w:p>
    <w:p>
      <w:r>
        <w:t>IT: VD_GERICHTE MP22.040430 del 9 gennaio 2025</w:t>
      </w:r>
    </w:p>
    <w:p>
      <w:pPr>
        <w:pStyle w:val="Heading2"/>
      </w:pPr>
      <w:r>
        <w:t>Erwägungen</w:t>
      </w:r>
    </w:p>
    <w:p>
      <w:r>
        <w:rPr>
          <w:b/>
        </w:rPr>
        <w:t>E. 3.1</w:t>
      </w:r>
    </w:p>
    <w:p>
      <w:r>
        <w:t>L'appelant requiert le maintien de son droit de déterminer le lieu de résidence et de la garde de fait exclusive des mineurs. Il reproche au président de ne pas avoir établi les faits de manière suffisante avant de prononcer le placement des enfants, en violation de la maxime inquisitoire. Il fait en outre valoir que le placement enfreint les principes de proportionnalité et de subsidiarité, dès lors que la thérapie aux Boréales n'a pas été envisagée comme mesure alternative, l'institution n'ayant pas rencontré les enfants. L'appelant estime qu'un suivi avec des professionnels est « à même de résorber la situation », en permettant aux enfants de revoir leur mère de manière médiatisée.</w:t>
      </w:r>
    </w:p>
    <w:p>
      <w:r>
        <w:t>- 16 -</w:t>
      </w:r>
    </w:p>
    <w:p>
      <w:r>
        <w:rPr>
          <w:b/>
        </w:rPr>
        <w:t>E. 3.2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parmi d’autres : Juge unique CACI 18 juillet 2024/ES61). Par préjudice, on entend tant les dommages patrimoniaux que les dommages immatériels, par exemple l’impossibilité d’exercer son droit aux relations personnelles avec l’enfant. Le juge procède à une pesée des intérêts en présence en prenant en compte le droit présumé du requérant à la mesure conservatoire et les conséquences que celle-ci entraînerait pour le requis et si les conditions sont réalisées ordonne les mesures provisionnelles nécessaires (Bohnet, CR-CPC, nn. 11 et 17 ad art. 261 CPC). 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du 13 février 2020 consid. 3.1.2).</w:t>
      </w:r>
    </w:p>
    <w:p>
      <w:r>
        <w:t>- 17 -</w:t>
      </w:r>
    </w:p>
    <w:p>
      <w:r>
        <w:rPr>
          <w:b/>
        </w:rPr>
        <w:t>E. 3.3.1</w:t>
      </w:r>
    </w:p>
    <w:p>
      <w:r>
        <w:t>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6e éd., 2019, n. 1107 ss p. 729 ss).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(Schwenzer/Cottier, Basler Kommentar, 5e éd., 2014, n. 4 ad art. 298 CC p. 1634). Les critères dégagés par la jurisprudence relative à l'attribution des droits parentaux demeurent toutefois applicables au nouveau droit lorsque le maintien de l'autorité parentale est litigieux, mais aussi pour statuer sur la "garde" lorsque celle-ci est disputée (Schwenzer/Cottier, op. cit., n. 5 ad art. 298 CC p. 1634).</w:t>
      </w:r>
    </w:p>
    <w:p>
      <w:r>
        <w:rPr>
          <w:b/>
        </w:rPr>
        <w:t>E. 3.3.2</w:t>
      </w:r>
    </w:p>
    <w:p>
      <w:r>
        <w:t>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(TF 5A_415/2020 du 18 mars 2021 consid.</w:t>
      </w:r>
    </w:p>
    <w:p>
      <w:r>
        <w:t>- 18 - 4.1 ; ATF 142 III 617 consid. 3.2.3-3.2.4 ; ATF 136 I 178 consid. 5.3 ; TF 5A_739/2020 du 22 janvier 2021 consid. 2.1 ; TF 5A_539/2020 du 17 août 2020 consid. 4.1.2), ce dernier critère revêtant un poids particulier lorsque les capacités d'éducation et de soin sont similaires (ATF 117 Il 353 consid. 3).</w:t>
      </w:r>
    </w:p>
    <w:p>
      <w:r>
        <w:rPr>
          <w:b/>
        </w:rPr>
        <w:t>E. 3.3.3</w:t>
      </w:r>
    </w:p>
    <w:p>
      <w:r>
        <w:t>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l, op. cit., n. 13 ad art. 133 CC et les réf. citées).</w:t>
      </w:r>
    </w:p>
    <w:p>
      <w:r>
        <w:rPr>
          <w:b/>
        </w:rPr>
        <w:t>E. 3.4.1</w:t>
      </w:r>
    </w:p>
    <w:p>
      <w:r>
        <w:t>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5A_153/2019 du 3 septembre 2019 consid. 4.3 et les réf. citées). L'énumération des situations autorisant le retrait,</w:t>
      </w:r>
    </w:p>
    <w:p>
      <w:r>
        <w:t>- 19 - provisoire ou non, du droit de déterminer le lieu de résidence de l'enfant n'est pas exhaustive (Meier/Stettler, op. cit., n. 1744, pp. 1135 ss ; Hegnauer, Droit suisse de la filiation et de la famille, 4ème éd., 1998, adaptation française par Meier, n. 27,36, p. 194).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 citées).</w:t>
      </w:r>
    </w:p>
    <w:p>
      <w:r>
        <w:rPr>
          <w:b/>
        </w:rPr>
        <w:t>E. 3.4.2</w:t>
      </w:r>
    </w:p>
    <w:p>
      <w:r>
        <w:t>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5A_131/2021 du 10 septembre 2021 consid. 4.2.1 et les réf. citées ; TF 5A_724/2015 du 2 juin 2016 consid. 6.3, non publié aux ATF 142 I 88). Dès lors qu'il s'agit d'une mesure servant à protéger l'enfant, il est sans pertinence que les parents n'aient pas commis de faute (TF 5A_131/2021 loc. cit.). Le retrait du droit de garde doit être levé lorsque le milieu familial évolue favorablement, de sorte qu'un retour de l'enfant dans celui-ci devient opportun (art. 313 al. 1 CC ; TF 5A_153/2019 précité consid. 4.4).</w:t>
      </w:r>
    </w:p>
    <w:p>
      <w:r>
        <w:rPr>
          <w:b/>
        </w:rPr>
        <w:t>E. 3.5</w:t>
      </w:r>
    </w:p>
    <w:p>
      <w:r>
        <w:t>Selon l'art. 23 LProMin, lorsque l'autorité de protection retire le droit de déterminer le lieu de résidence d'un mineur en application de l'art. 310 CC, le service en charge de la protection des mineurs peut être chargé d'un mandat de placement et de garde et pourvoit alors au mieux au placement du mineur. Aux termes de l'art. 26 al. 1 RLProMin (règlement d'application de la loi du 4 mai 2004 sur la protection des mineurs du 5 avril 2017 ; BLV 850.41.1), lorsque l'autorité judiciaire ou l'autorité de protection de l'enfant retire le droit de déterminer le lieu de résidence au sens de l'art.</w:t>
      </w:r>
    </w:p>
    <w:p>
      <w:r>
        <w:t>- 20 - 310 CC et confie un mandat de placement et de garde au service en charge de la protection des mineurs, ce dernier place le mineur au mieux de ses intérêts, décide de son mode de prise en charge et donne des instructions à la famille ou à l'institution accueillant le mineur. Sont réservées les compétences résiduelles de l'autorité parentale. L'al. 2, 2ème phr., de cette disposition précise que dans le cadre de son mandat, le service en charge de la protection des mineurs peut définir les relations personnelles qu'entretient le mineur avec ses parents ou des tiers, sous réserve d'une décision contraire d'une autorité judiciaire ou de l'autorité de protection de l'enfant.</w:t>
      </w:r>
    </w:p>
    <w:p>
      <w:r>
        <w:rPr>
          <w:b/>
        </w:rPr>
        <w:t>E. 4.1</w:t>
      </w:r>
    </w:p>
    <w:p>
      <w:r>
        <w:t>Le grief de l’appelant contre le refus des réquisitions du 10 septembre 2024 est devenu sans objet puisque les questions complémentaires ont été posées au Dr V.________ qui y a répondu dans son complément d’expertise du 14 novembre 2024.</w:t>
      </w:r>
    </w:p>
    <w:p>
      <w:r>
        <w:rPr>
          <w:b/>
        </w:rPr>
        <w:t>E. 4.2</w:t>
      </w:r>
    </w:p>
    <w:p>
      <w:r>
        <w:t>S'agissant du suivi aux Boréales, cette institution a considéré que le comportement du père ne permettait pas un travail et a en conséquence refusé la thérapie. L'adhésion récente et sujette à caution du père à ce suivi pour réintroduire un contact mère-enfants ne permet pas la reprise immédiate du suivi à ce stade, étant au demeurant rappelé que les enfants ont par ailleurs émis des oppositions pour certains à renouer le contact. A cet égard, l’expert préconise que des contacts doivent être établis avec les Boréales pour envisager initialement la restauration du lien mère-enfants, ceci en parallèle du placement des enfants en foyer, et précise que les délais d’attente pour cette consultation sont considérables.</w:t>
      </w:r>
    </w:p>
    <w:p>
      <w:r>
        <w:rPr>
          <w:b/>
        </w:rPr>
        <w:t>E. 4.3</w:t>
      </w:r>
    </w:p>
    <w:p>
      <w:r>
        <w:t>Vu le contexte d'aliénation parentale grave depuis plusieurs années, il n'existe pas de mesures alternatives efficaces moins drastiques possibles. C’est ce que l'expert a confirmé. Certes, il faut admettre avec l'appelant que le placement des mineurs constituera un changement important dans leur quotidien, mais une telle rupture apparaît comme le</w:t>
      </w:r>
    </w:p>
    <w:p>
      <w:r>
        <w:t>- 21 - seul moyen de faire cesser cette dynamique familiale. Le conflit de loyauté – même si le père a reconnu son comportement et en a pris conscience – a déployé et déploie encore ses effets sur les mineurs qui ne formulent même pas le terme « mère ou maman », et refusent encore le contact, de sorte qu'il n'est pas possible d'y mettre fin d'une autre manière. L'expert a répondu dans l'intérêt supérieur des enfants, intérêt qui prime celui du père à conserver son lien avec ses enfants. Aucune mesure de protection moins incisive n'est envisageable en l'état, en dépit des efforts promis. La mesure est donc proportionnée. Compte tenu de tous les éléments, le retrait du droit de déterminer le lieu de résidence et la garde des enfants au père et le placement corrélatif des mineurs en foyer doit être confirmé, ce qui implique également de confirmer les conséquences de ces ordres, à savoir la suppression de la mesure de curatelle de surveillance P.________ et la suspension du versement des contributions d'entretien de la mère.</w:t>
      </w:r>
    </w:p>
    <w:p>
      <w:r>
        <w:rPr>
          <w:b/>
        </w:rPr>
        <w:t>E. 5</w:t>
      </w:r>
    </w:p>
    <w:p>
      <w:r>
        <w:t>heures et 35 minutes par une avocat-stagiaire, au dossier. Les heures annoncées peuvent être admises. Il s’ensuit que l’indemnité de Me Jaccoud doit être arrêtée à 1’123 fr. 37, arrondie à 1'123 fr., soit 1’019 fr. 17 d’honoraires ([180 fr. x 2 h 15] + [110 fr. x 5 h 35), auxquels s’ajoutent les débours par 20 fr. (2 % en 2ème instance, art. 3bis al. 1 RAJ) et la TVA à 8,1 % sur le tout (art. 2 al. 3 RAJ), par 84 fr. 20. Cette indemnité sera versée à Me Jaccoud si les dépens de deuxième instance ne peuvent être obtenus de l’appelant (art. 122 al. 2 CPC).</w:t>
      </w:r>
    </w:p>
    <w:p>
      <w:r>
        <w:t>- 23 -</w:t>
      </w:r>
    </w:p>
    <w:p>
      <w:r>
        <w:rPr>
          <w:b/>
        </w:rPr>
        <w:t>E. 5.1</w:t>
      </w:r>
    </w:p>
    <w:p>
      <w:r>
        <w:t>En conclusion, l'appel, manifestement infondé, doit être rejeté et l'ordonnance attaquée confirmée.</w:t>
      </w:r>
    </w:p>
    <w:p>
      <w:r>
        <w:rPr>
          <w:b/>
        </w:rPr>
        <w:t>E. 5.2</w:t>
      </w:r>
    </w:p>
    <w:p>
      <w:r>
        <w:t>L'appelant a requis l'assistance judiciaire pour la procédure de deuxième instance. Vu son appel dénué de chances de succès au sens de l’art. 117 let. b CPC, la requête est rejetée.</w:t>
      </w:r>
    </w:p>
    <w:p>
      <w:r>
        <w:rPr>
          <w:b/>
        </w:rPr>
        <w:t>E. 5.3</w:t>
      </w:r>
    </w:p>
    <w:p>
      <w:r>
        <w:t>Les frais judiciaires de deuxième instance, arrêtés à 800 fr., soit 200 fr. pour l'émolument relatif à la décision rendue sur la requête d'effet suspensif (art. 60 TFJC [tarif des frais judiciaires civils du 28 septembre 2010 ; BLV 270.11.5 par analogie) et 600 fr. pour l'émolument du présent arrêt (art. 63 al. 1 et 65 al. 2 TFJC), doivent être mis à la charge de l'appelant, qui succombe (art. 106 al. 1 CPC).</w:t>
      </w:r>
    </w:p>
    <w:p>
      <w:r>
        <w:rPr>
          <w:b/>
        </w:rPr>
        <w:t>E. 5.4</w:t>
      </w:r>
    </w:p>
    <w:p>
      <w:r>
        <w:t>L’intimée a requis l’octroi de l’assistance judiciaire pour la procédure d’appel. Les conditions posées par l’art. 117 CPC apparaissent</w:t>
      </w:r>
    </w:p>
    <w:p>
      <w:r>
        <w:t>- 22 - remplies, de sorte que le bénéfice de l’assistance judiciaire doit lui être accordé, Me Jessica Jaccoud étant désignée comme conseil d’office.</w:t>
      </w:r>
    </w:p>
    <w:p>
      <w:r>
        <w:rPr>
          <w:b/>
        </w:rPr>
        <w:t>E. 5.5</w:t>
      </w:r>
    </w:p>
    <w:p>
      <w:r>
        <w:t>Par ailleurs, l’intimée ayant été invitée à procéder, il y a lieu de lui allouer des dépens de deuxième instance, arrêtés à 1'500 fr., débours inclus (art. 3 al. 2, 7, 19 al. 2 et 20 al. 2 TDC [tarif des dépens en matière civile du 23 novembre 2010 ; BLV 270.11.6]). Etant au bénéfice de l’assistance judiciaire et au vu de la jurisprudence sur la distraction des dépens (TF 4A_106/2021 du 8 août 2022 consid. 3.4), ces dépens seront directement alloués à son conseil d’office, soit à Me Jessica Jaccoud.</w:t>
      </w:r>
    </w:p>
    <w:p>
      <w:r>
        <w:rPr>
          <w:b/>
        </w:rPr>
        <w:t>E. 5.6.1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5.6.2</w:t>
      </w:r>
    </w:p>
    <w:p>
      <w:r>
        <w:t>En l’occurrence, Me Jessica Jaccoud indique dans sa liste des opérations du 27 février 2025 avoir consacré 7 heures et 50 minutes, dont</w:t>
      </w:r>
    </w:p>
    <w:p>
      <w:r>
        <w:rPr>
          <w:b/>
        </w:rPr>
        <w:t>E. 5.6.3</w:t>
      </w:r>
    </w:p>
    <w:p>
      <w:r>
        <w:t>La bénéficiaire de l’assistance judiciaire est tenue au remboursement de l’indemnité allouée à son conseil d’office, pour autant que celle-ci soit avancée par l’Etat (cf. 122 al. 2 CPC),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de mesures provisionnelles du 1er octobre 2024 est confirmée. III. La requête d’assistance judiciaire déposée par X.________ est rejetée. IV. Les frais judiciaires de deuxième instance, arrêtés à 800 fr. (huit cents francs), sont mis à la charge de l’appelant X.________. V. L’appelant X.________ doit verser à Me Jessica Jaccoud la somme de 1'500 fr. (mille cinq cents francs) à titre de dépens de deuxième instance. VI. La requête d’assistance judiciaire déposée par A.________ est admise, Me Jessica Jaccoud étant désignée conseil d’office.</w:t>
      </w:r>
    </w:p>
    <w:p>
      <w:r>
        <w:t>- 24 - VII. Si Me Jessica Jaccoud ne peut pas recouvrer les dépens, son indemnité d’office est arrêtée à 1'123 fr. (mille cent vingt-trois francs), débours et TVA compris. VIII. Pour autant que l’indemnité d’office soit avancée par l’Etat, la bénéficiaire de l’assistance judiciaire est tenue à son remboursement, dès qu’elle sera en mesure de le faire. IX. L’arrêt est exécutoire. La juge unique : La greffière : Du Le présent arrêt, dont la rédaction a été approuvée à huis clos, est notifié en expédition complète à : - Me Frédérique Riesen (pour X.________), - Me Jessica Jaccoud (pour A.________), - Me Alain Pichard Bärtsch (pour B.________, C.________, D.________ et E.________), - P.________ (pour l’Office régional de protection des mineurs de l’Est vaudois), et communiqué, par l'envoi de photocopies, à : - Monsieur le Président du Tribunal civil de l’arrondissement de l’Est vaudois, - l’Unité d’évaluation et missions spécifiques.</w:t>
      </w:r>
    </w:p>
    <w:p>
      <w:r>
        <w:t>- 25 -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