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MP22.025569 vom 29. Oktober 2025</w:t>
      </w:r>
    </w:p>
    <w:p>
      <w:r>
        <w:t>VD Tribunal cantonal, 2025-10-29, FR</w:t>
      </w:r>
    </w:p>
    <w:p>
      <w:r>
        <w:rPr>
          <w:b/>
        </w:rPr>
        <w:t xml:space="preserve">Quelle: </w:t>
      </w:r>
      <w:r>
        <w:t>https://mcp.opencaselaw.ch/entscheid/vd_gerichte_MP22.025569</w:t>
      </w:r>
    </w:p>
    <w:p>
      <w:r>
        <w:t>FR: VD_GERICHTE MP22.025569 du 29 octobre 2025</w:t>
      </w:r>
    </w:p>
    <w:p>
      <w:r>
        <w:t>IT: VD_GERICHTE MP22.025569 del 29 ottobre 2025</w:t>
      </w:r>
    </w:p>
    <w:p>
      <w:pPr>
        <w:pStyle w:val="Heading2"/>
      </w:pPr>
      <w:r>
        <w:t>Erwägungen</w:t>
      </w:r>
    </w:p>
    <w:p>
      <w:r>
        <w:rPr>
          <w:b/>
        </w:rPr>
        <w:t>E. 7.1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CHF 180.- s’agissant d’un avocat (art. 2 al. 1 let. a RAJ [règlement du 7 décembre 2010 sur l’assistance judiciaire en matière civile ; BLV 211.02.3]) et de CHF 110.- pour un avocat stagiaire (art. 2 al. 1 let. b RAJ).</w:t>
      </w:r>
    </w:p>
    <w:p>
      <w:r>
        <w:rPr>
          <w:b/>
        </w:rPr>
        <w:t>E. 7.2</w:t>
      </w:r>
    </w:p>
    <w:p>
      <w:r>
        <w:t>En l’espèce, Me Alain Pichard a indiqué avoir consacré 18 heures et 10 minutes à la cause. Parmi les opérations facturées, figurent</w:t>
      </w:r>
    </w:p>
    <w:p>
      <w:r>
        <w:t>- 21 - des courriels au BRAPA pour un total de 45 minutes. Or, ces opérations excèdent le cadre du mandat couvert par l’assistance judiciaire, de sorte qu’il sera retranché. Le temps relatif aux instructions données à la collaboratrice de l’étude, par 5 minutes, sera également retranché. Enfin, la rédaction de l’appel, facturée à hauteur de 6 heures et 45 minutes apparait excessive et sera réduite à 5 heures. En définitive, le temps total rémunéré sera arrêté à 15 heures et 35 minutes. Il s’ensuit qu’au tarif horaire de CHF 180.-, l’indemnité de Me Alain Pichard doit être fixée à CHF 2'805.- (15.35 h x CHF 180.-), montant auquel il convient d’ajouter des débours par CHF 56.10 (2 % x CHF 2'805.-, art. 3bis al. 1 RAJ), ainsi que la TVA à 8.1 % sur l’ensemble, soit CHF 231.75, pour un total de CHF 3'092.85.</w:t>
      </w:r>
    </w:p>
    <w:p>
      <w:r>
        <w:rPr>
          <w:b/>
        </w:rPr>
        <w:t>E. 7.3</w:t>
      </w:r>
    </w:p>
    <w:p>
      <w:r>
        <w:t>La bénéficiaire de l’assistance judiciaire remboursera l’indemnité allouée à son conseil d’office, provisoirement supportée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admis. II. L’ordonnance est réformée aux chiffres V, XIV et XV de son dispositif comme il suit : V. supprimé.</w:t>
      </w:r>
    </w:p>
    <w:p>
      <w:r>
        <w:t>- 22 - XIV. arrête les frais judiciaires à CHF 2'000.- (deux mille francs) et les met à la charge de G.________. XV. dit que G.________ doit verser à Me Alain Pichard, conseil d’office d’L.________, le montant de CHF 3'500.- (trois mille cinq cents francs) à titre de dépens. Si Me Alain Pichard obtient le paiement des dépens de la part de G.________, ce montant sera déduit du montant alloué à titre d’indemnité d’office pour la période concernée. L’ordonnance est maintenue pour le surplus. III. Les frais judiciaires de deuxième instance, arrêtés à CHF 3'306.85 (trois mille trois cent six francs et huitante-cinq centimes), sont mis à la charge de l’intimé G.________. IV. L’indemnité de Me Alain Pichard, conseil d’office de l’appelante L.________, est arrêtée à CHF 3'092.85 (trois mille nonante- deux francs et huitante-cinq centimes), TVA et débours compris. V. L’intimé G.________ doit verser à Me Alain Pichard, conseil d’office de l’appelante L.________, la somme de CHF 3’150.- (trois mille cent cinquante francs) à titre de dépens de deuxième instance. Si Me Alain Pichard obtient le paiement des dépens de la part de l’intimé G.________, ce montant sera déduit du montant alloué à titre d’indemnité d’office sous chiffre IV ci-dessus. VI. L’appelante L.________, bénéficiaire de l’assistance judiciaire, est tenue au remboursement de l’indemnité de son conseil d’office, provisoirement laissée à la charge de l’Etat, dès qu’elle sera en mesure de le faire.</w:t>
      </w:r>
    </w:p>
    <w:p>
      <w:r>
        <w:t>- 23 - VII. L’arrêt est exécutoire. Le juge unique : La greffière : Du Le présent arrêt, dont la rédaction a été approuvée à huis clos, est notifié en expédition complète à : - Me Alain Pichard (pour L.________), - M. G.________,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