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MP20.013836 vom 9. Dezember 2020</w:t>
      </w:r>
    </w:p>
    <w:p>
      <w:r>
        <w:t>VD Tribunal cantonal, 2020-12-09, FR</w:t>
      </w:r>
    </w:p>
    <w:p>
      <w:r>
        <w:rPr>
          <w:b/>
        </w:rPr>
        <w:t xml:space="preserve">Quelle: </w:t>
      </w:r>
      <w:r>
        <w:t>https://mcp.opencaselaw.ch/entscheid/vd_gerichte_MP20.013836</w:t>
      </w:r>
    </w:p>
    <w:p>
      <w:r>
        <w:t>FR: VD_GERICHTE MP20.013836 du 9 décembre 2020</w:t>
      </w:r>
    </w:p>
    <w:p>
      <w:r>
        <w:t>IT: VD_GERICHTE MP20.013836 del 9 dicembre 2020</w:t>
      </w:r>
    </w:p>
    <w:p>
      <w:pPr>
        <w:pStyle w:val="Heading2"/>
      </w:pPr>
      <w:r>
        <w:t>Erwägungen</w:t>
      </w:r>
    </w:p>
    <w:p>
      <w:r>
        <w:rPr>
          <w:b/>
        </w:rPr>
        <w:t>E. 1</w:t>
      </w:r>
    </w:p>
    <w:p>
      <w:r>
        <w:t>Le 6 avril 2020, l’enfant S.________, représentée par sa mère [...] et l’avocat H.________, a saisi la présidente d’une requête de conciliation, doublée d’une requête de mesures provisionnelles, dirigée contre son père [...], tendant en substance à la fixation d’une contribution d’entretien et des droits parentaux.</w:t>
      </w:r>
    </w:p>
    <w:p>
      <w:r>
        <w:rPr>
          <w:b/>
        </w:rPr>
        <w:t>E. 1.1</w:t>
      </w:r>
    </w:p>
    <w:p>
      <w:r>
        <w:t>La décision arrêtant la rémunération du conseil d'office au sens de l'art. 122 al. 1 let. a CPC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n. 22 ad art. 122 CPC).</w:t>
      </w:r>
    </w:p>
    <w:p>
      <w:r>
        <w:rPr>
          <w:b/>
        </w:rPr>
        <w:t>E. 1.2</w:t>
      </w:r>
    </w:p>
    <w:p>
      <w:r>
        <w:t>En l'espèce, formé en temps utile par une partie disposant d'un intérêt digne de protection (art. 59 al. 2 let. a CPC), le recours, écrit et motivé (art. 321 al. 1 CPC), est recevable.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w:t>
      </w:r>
    </w:p>
    <w:p>
      <w:r>
        <w:t>- 5 - RS 173.110), ne permet que de corriger une erreur évidente, la notion se recoupant en définitive avec l'appréciation arbitraire des preuves (Corboz et al., Commentaire de la LTF, 2e éd., Berne 2014, n. 27 ad art. 97 LTF).</w:t>
      </w:r>
    </w:p>
    <w:p>
      <w:r>
        <w:rPr>
          <w:b/>
        </w:rPr>
        <w:t>E. 2</w:t>
      </w:r>
    </w:p>
    <w:p>
      <w:r>
        <w:t>Le même jour, elle a requis l’assistance judiciaire dans le cadre de cette procédure. Par prononcé du 15 avril 2020, la présidente a accordé à S.________, dans la cause en fixation de la contribution d’entretien et des droits parentaux qui l’opposait à [...], le bénéfice de l’assistance judiciaire avec effet au 6 avril 2020 et a désigné Me H.________ en qualité de conseil d’office.</w:t>
      </w:r>
    </w:p>
    <w:p>
      <w:r>
        <w:rPr>
          <w:b/>
        </w:rPr>
        <w:t>E. 3</w:t>
      </w:r>
    </w:p>
    <w:p>
      <w:r>
        <w:t>Le 2 novembre 2020, Me H.________ a requis une avance pour les opérations entreprises dans le cadre de son mandat d’office et a produit une liste de ses opérations couvrant la période du 28 février au 2 novembre 2020, faisant état d’un temps consacré au dossier de 11 heures et 25 minutes, ainsi que de débours d’un montant de 969 fr. 60 hors taxe. Ce document mentionne notamment cinq opérations intitulées « Prise connaissance courrier », comptabilisées à raison de 5 minutes chacune, ainsi que deux « Déplacements (2 x 95 km x CHF 2.50) » revendiqués à hauteur de 475 fr. chacun. En d roit : 1.</w:t>
      </w:r>
    </w:p>
    <w:p>
      <w:r>
        <w:t>- 4 -</w:t>
      </w:r>
    </w:p>
    <w:p>
      <w:r>
        <w:rPr>
          <w:b/>
        </w:rPr>
        <w:t>E. 3.1</w:t>
      </w:r>
    </w:p>
    <w:p>
      <w:r>
        <w:t>Dans un premier moyen, invoquant une violation des art. 119 et 122 al. 1 CPC, le recourant fait grief au premier juge de ne pas avoir indemnisé les opérations accomplies du 28 février au 5 avril 2020 au motif que l'assistance judiciaire avait été octroyée à compter du 6 avril 2020. Il soutient que les opérations antérieures au 6 avril 2020 seraient directement liées au dépôt des différentes actions au fond et devraient être couvertes par l'assistance judiciaire.</w:t>
      </w:r>
    </w:p>
    <w:p>
      <w:r>
        <w:rPr>
          <w:b/>
        </w:rPr>
        <w:t>E. 3.2</w:t>
      </w:r>
    </w:p>
    <w:p>
      <w:r>
        <w:t>Selon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let. c, JdT 1997 I 604). Sont couvertes les opérations du conseil en relation avec une écriture déposée simultanément avec la requête, ainsi que les opérations préalables nécessaires à ce but et celles nécessaires pour l'établissement de la requête d'assistance judiciaire elle-même (TF 5A_181/2012 du 27 juin 2012 consid. 2.3.3). L'assistance judiciaire ne peut être accordée qu'exceptionnellement à titre rétroactif (art. 119 al. 4 CPC). Tel est le cas si le défaut de demande d'assistance judiciaire apparaît excusable, par exemple lorsque l'urgence commandait d'agir sans solliciter auparavant une décision relative à l'assistance judiciaire (ATF 122 I 203 consid. 2 let. f, JdT 1997 I 604 ; TF 5A_181/2012 du 27 juin 2012 consid. 2.3.3) ou si l'avis prévu par l'art. 97 CPC n'avait pas été donné ou ne l'avait été que tardivement (CREC 22 janvier 2015/40 consid. 3). Il appartient au requérant d'exposer en quoi il aurait été empêché de requérir l'assistance</w:t>
      </w:r>
    </w:p>
    <w:p>
      <w:r>
        <w:t>- 6 - judiciaire dès que les conditions en étaient réalisées (CREC 3 mai 2012/165 consid. 2).</w:t>
      </w:r>
    </w:p>
    <w:p>
      <w:r>
        <w:rPr>
          <w:b/>
        </w:rPr>
        <w:t>E. 3.3</w:t>
      </w:r>
    </w:p>
    <w:p>
      <w:r>
        <w:t>En l'espèce, par prononcé du 15 avril 2020, qui n'a pas été contesté par le recourant, l'assistance judiciaire a été accordée avec effet au 6 avril 2020. Cette décision est définitive et il n'y a pas lieu de retenir une autre date que celle arrêtée par l'autorité précédente pour l'octroi de l'assistance judiciaire. Le recourant n'entreprend d'ailleurs pas de démontrer une quelconque circonstance particulière qui l'aurait empêché de requérir l'assistance judiciaire antérieurement au 6 avril 2020, date du dépôt de cette requête. Le grief est infondé.</w:t>
      </w:r>
    </w:p>
    <w:p>
      <w:r>
        <w:rPr>
          <w:b/>
        </w:rPr>
        <w:t>E. 4.1</w:t>
      </w:r>
    </w:p>
    <w:p>
      <w:r>
        <w:t>Invoquant une violation des art. 9 Cst., 122 CPC et 2 al. 1 RAJ (Règlement sur l’assistance judiciaire en matière civile du 7 décembre 2010 ; BLV 211.02.3), le recourant reproche au premier juge d'avoir refusé d'indemniser les opérations relatives à la prise de connaissance de courriers au motif que cela n'impliquait qu'une lecture cursive et brève ne dépassant pas les quelques secondes. Il fait valoir que les courriers en question auraient nécessité une analyse et des vérifications importantes.</w:t>
      </w:r>
    </w:p>
    <w:p>
      <w:r>
        <w:rPr>
          <w:b/>
        </w:rPr>
        <w:t>E. 4.2</w:t>
      </w:r>
    </w:p>
    <w:p>
      <w:r>
        <w:t>Aux termes de l'art. 122 al. 1 let. a CPC, le conseil juridique commis d'office est rémunéré équitablement par le canton. Cette notion aux contours imprécis doit permettre aux cantons de fixer, sur la base d'un large pouvoir d'appréciation (TF 5P.291/2006 du 13 septembre 2006), le montant de l'indemnité allouée au conseil d'office dans les limites de leur tarif des frais (art. 96 CPC) (Rüegg, Basler Kommentar, Schweizerische Zivilprozessordnung, 2e éd., Bâle 2013, nn. 5 à 7 ad art. 122 CPC). Pour fixer la quotité de l'indemnité du conseil d'office, l'autorité cantonale doit s'inspirer des critères applicables à la modération des honoraires d'avocat (ATF 122 I 1 consid. 3a ; Donzallaz, Loi sur le Tribunal fédéral, Commentaire, Berne 2008, n. 1775 ad art. 64 LTF). Dans</w:t>
      </w:r>
    </w:p>
    <w:p>
      <w:r>
        <w:t>- 7 -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Les opérations qui relèvent d'un travail de secrétariat faisant partie des frais généraux de l'avocat n'ont pas à être indemnisées, comme par exemple l'envoi de « mémos » ou avis de transmission (CREC 6 juin 2017/204 consid. 2.2 ; CREC 14 septembre 2015/332 consid. 3.2), l'établissement d'une procuration (CREC 2 août 2016/295 consid. 3.3.3), ainsi que l'ouverture d'un dossier et la rédaction d'une liste des opérations (JdT 2017 III 59 ; CREC 14 juillet 2015/259 consid. 3c), et ce quand bien même ces opérations sont effectuées par l'avocat (CREC 11 août 2017/294 consid. 4.2 ; sur le tout CREC 30 novembre 2017/431 consid. 4.2). La prise</w:t>
      </w:r>
    </w:p>
    <w:p>
      <w:r>
        <w:t>- 8 - de connaissance des courriers ou courriels qui n'impliquent qu'une lecture cursive et brève n'a pas non plus à être prise en compte (CREC 6 juin 2017/204 consid. 2.2 ; CREC 23 janvier 2015/44 consid. 5b).</w:t>
      </w:r>
    </w:p>
    <w:p>
      <w:r>
        <w:rPr>
          <w:b/>
        </w:rPr>
        <w:t>E. 4.3</w:t>
      </w:r>
    </w:p>
    <w:p>
      <w:r>
        <w:t>En l'occurrence, il est de jurisprudence constante de la Chambre de céans que les prises de connaissance de courriers n'impliquant qu'une lecture cursive et brève ne dépassant pas les quelques secondes n'ont pas à être rémunérées par l'assistance judiciaire (cf. également à cet égard la jurisprudence rendue par d'autres cours du Tribunal cantonal, notamment CACI 16 novembre 2020/485 consid. 10.3.2.2, Juge délégué CACI 22 mars 2017/124 consid. 4.4 et CCUR 29 novembre 2016/266 consid. 4.3.5). Il n'y a aucune circonstance particulière qui justifierait ici de s'écarter de cette pratique. En effet, le recourant se contente d'alléguer que les courriers en question auraient nécessité une analyse et des vérifications poussées, sans se référer à un quelconque élément du dossier. En outre, chacune des opérations litigieuses liées à la prise de connaissance de courriers a été comptabilisée à raison de 5 minutes, ce qui tend au contraire à démontrer que tel n'était pas le cas et que le temps annoncé pour celles-ci a été revendiqué de manière forfaitaire, sans égard au contenu de ces écrits.</w:t>
      </w:r>
    </w:p>
    <w:p>
      <w:r>
        <w:rPr>
          <w:b/>
        </w:rPr>
        <w:t>E. 5.1</w:t>
      </w:r>
    </w:p>
    <w:p>
      <w:r>
        <w:t>Dans un dernier moyen, invoquant une violation des art. 122 CPC et 3bis al. 4 RAJ, le recourant fait grief au premier juge d'avoir appliqué l'indemnité forfaitaire de 120 fr. prévue par l'art. 3bis al. 3 RAJ pour rémunérer les deux déplacements revendiqués dans sa liste des opérations. Il soutient qu'il aurait utilisé son véhicule pour se déplacer hors du canton de Vaud, soit de [...] à Nyon (aller-retour) et que les débours réclamés à ce titre auraient été motivés par la « formule usuelle » appliquée dans le canton de Fribourg, à savoir « CHF 2.50 x distance x nombre de trajets » selon l'art. 77 al. 1 RJ (Règlement fribourgeois sur la justice du 30 novembre 2010 ; RSF 130.11), sans qu'il soit besoin de justificatifs.</w:t>
      </w:r>
    </w:p>
    <w:p>
      <w:r>
        <w:t>- 9 -</w:t>
      </w:r>
    </w:p>
    <w:p>
      <w:r>
        <w:rPr>
          <w:b/>
        </w:rPr>
        <w:t>E. 5.2</w:t>
      </w:r>
    </w:p>
    <w:p>
      <w:r>
        <w:t>Les vacations dans le canton de Vaud sont comptées forfaitairement à 120 fr. pour l'avocat breveté, à 80 fr. pour l'avocat stagiaire, à 90 fr. pour l'agent d'affaires breveté et à 50 fr. pour le stagiaire d'agent d'affaires breveté ; ce forfait vaut pour tout le canton et couvre les frais et le temps de déplacement aller et retour (art. 3bis al. 3 RAJ). Lorsque des circonstances exceptionnelles justifient d'arrêter les débours à un montant supérieur (importance inhabituelle de la cause notamment et vacation hors canton), le conseil commis d'office présente une liste accompagnée des justificatifs de paiement (art. 3bis al. 4 RAJ).</w:t>
      </w:r>
    </w:p>
    <w:p>
      <w:r>
        <w:rPr>
          <w:b/>
        </w:rPr>
        <w:t>E. 5.3</w:t>
      </w:r>
    </w:p>
    <w:p>
      <w:r>
        <w:t>En l'espèce, la teneur de l'art. 3bis al. 4 RAJ est claire : le recourant aurait dû présenter des justificatifs de paiement s'il entendait se faire rémunérer ses déplacements hors du canton de Vaud à un montant supérieur au forfait prévu par l'art. 3bis al. 3 RAJ. Le fait qu'un autre système soit applicable dans le canton de Fribourg n'y change rien, l'assistance judiciaire ayant été octroyée par une autorité vaudoise et la procédure se déroulant dans ce canton. Le grief doit également être rejeté.</w:t>
      </w:r>
    </w:p>
    <w:p>
      <w:r>
        <w:rPr>
          <w:b/>
        </w:rPr>
        <w:t>E. 6.1</w:t>
      </w:r>
    </w:p>
    <w:p>
      <w:r>
        <w:t>En définitive, le recours, manifestement infondé, doit être rejeté et la décision confirmée.</w:t>
      </w:r>
    </w:p>
    <w:p>
      <w:r>
        <w:rPr>
          <w:b/>
        </w:rPr>
        <w:t>E. 6.2</w:t>
      </w:r>
    </w:p>
    <w:p>
      <w:r>
        <w:t>Vu l'issue du recours, les frais judiciaires de deuxième instance, arrêtés à 100 fr. (art. 69 al. 1 et 70 al. 3 TFJC [Tarif des frais judiciaires civils du 28 septembre 2010 ; BLV 270.11.5]), seront mis à la charge du recourant (art. 106 al. 1 CPC).</w:t>
      </w:r>
    </w:p>
    <w:p>
      <w:r>
        <w:t>- 10 -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H.________. IV. L'arrêt est exécutoire. Le président : Le greffier : Du L'arrêt qui précède, dont la rédaction a été approuvée à huis clos, est notifié à : - Me H.________, -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