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MM21.005310 vom 29. September 2021</w:t>
      </w:r>
    </w:p>
    <w:p>
      <w:r>
        <w:t>VD Tribunal cantonal, 2021-09-29, FR</w:t>
      </w:r>
    </w:p>
    <w:p>
      <w:r>
        <w:rPr>
          <w:b/>
        </w:rPr>
        <w:t xml:space="preserve">Quelle: </w:t>
      </w:r>
      <w:r>
        <w:t>https://mcp.opencaselaw.ch/entscheid/vd_gerichte_MM21.005310</w:t>
      </w:r>
    </w:p>
    <w:p>
      <w:r>
        <w:t>FR: VD_GERICHTE MM21.005310 du 29 septembre 2021</w:t>
      </w:r>
    </w:p>
    <w:p>
      <w:r>
        <w:t>IT: VD_GERICHTE MM21.005310 del 29 settembre 2021</w:t>
      </w:r>
    </w:p>
    <w:p>
      <w:pPr>
        <w:pStyle w:val="Heading2"/>
      </w:pPr>
      <w:r>
        <w:t>Erwägungen</w:t>
      </w:r>
    </w:p>
    <w:p>
      <w:r>
        <w:rPr>
          <w:b/>
        </w:rPr>
        <w:t>E. 20</w:t>
      </w:r>
    </w:p>
    <w:p>
      <w:r>
        <w:t>janvier 2021 serait inexploitable, de même que le rapport d’investigation du 26 janvier 2021, qui en constituerait une preuve dérivée. Elle invoque une violation de l’art. 158 CPP, en ce sens qu’elle n’aurait pas été informée en début d’audition des charges portées contre elle et que ce n’est qu’au fil des questions posées par la police qu’elle aurait finalement compris ce qui lui était reproché. Elle soutient également que le procédé utilisé par la police constituerait une violation de</w:t>
      </w:r>
    </w:p>
    <w:p>
      <w:r>
        <w:t>- 5 - l’art. 113 CP dans la mesure où un prévenu laissé dans l’ignorance de ce qui lui est reproché, pourrait être amené à s’incriminer lui-même, ce qui serait précisément arrivé dans le cas d’espèce. 2.2 2.2.1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2.2.2 Selon l’art. 143 al. 1 let. b CPP, au début de l’audition, le comparant, dans une langue qu’il comprend, est informé de l’objet de la procédure et de la qualité en laquelle il est entendu. Cette disposition pose les règles de base qui doivent être respectées lors de chaque audition. Des règles particulières sont également énoncées à l’art. 158 CPP, qui règlemente uniquement la « première audition » (Moreillon/Parein-Reymond, Code de procédure pénale, Petit commentaire, 2e éd., Bâle 2016, n. 2 ad art. 143 CPP et n. 5 ad art. 158 CPP). Aux termes de l’art. 158 al. 1 let. a CPP, au début de la première audition, la police ou le Ministère public informe le prévenu dans une langue qu’il comprend, qu'une procédure préliminaire est ouverte contre lui et pour quelles infractions.</w:t>
      </w:r>
    </w:p>
    <w:p>
      <w:r>
        <w:t>- 6 - Selon le Message du Conseil fédéral relatif à l'unification du droit de la procédure pénale du 21 décembre 2005, il est important d’attirer l’attention du prévenu sur le fait qu’une procédure préliminaire est ouverte contre lui ainsi que de lui signifier ses droits. A cet effet, une information générale sur les charges n’est pas suffisante. Il n’est pas admissible par exemple d’accuser le prévenu globalement d’une participation à un trafic de stupéfiants. L’autorité devra lui exposer les faits de façon précise, pour lui permettre de circonscrire l’infraction, y compris le lieu où les actes se sont déroulés et l’heure à laquelle ils ont été constatés. A ce stade, la règle n’exige pas de l’autorité qu’elle se livre à une appréciation juridique précise et circonstanciée des faits, mais exige seulement de l’autorité d’établir et de décrire de manière précise et aussi complète que possible les faits qui sont reprochés au prévenu, et d’informer celui-ci de l’infraction qui pourrait découler de ces faits (FF 2006 pp. 1057 ss, spéc. p. 1172-73). Selon la jurisprudence, le prévenu doit être mis au courant, de manière générale et selon l’état actuel de la procédure, du délit qui lui est reproché. A cet égard, il ne s’agit pas seulement d’énoncer les normes pénales en cause mais surtout d’exposer au prévenu, aussi précisément que possible, les faits qui lui sont reprochés (ATF 141 IV 20 consid. 1.3.3, JdT 2015 IV 191 ; TF 6B_489/2018 du 31 octobre 2018 consid. 3.2 ; TF 6B_646/2017 du 1er mai 2018 consid. 5.1). L’information doit être fournie « au début de la première audition ». Il s’ensuit que, si elle l’est après, cela ne suffit pas. Dans le cas contraire, la disposition en cause resterait lettre morte et les autorités de poursuite pourraient librement décider si et à quel moment elles souhaiteraient confronter l’accusé à une charge juridiquement suffisante, ce qui irait évidemment à l’encontre de l’objectif de la norme. Il en va de même d’une information partielle. Il s’agit d’une condition « sine qua non » à l’exploitabilité de l’audition (TF 6B_646/2017 précité consid. 5.3). Les renseignements obtenus sans que ces informations aient été données ne sont pas exploitables, conformément à l’art. 158 al. 2 CPP en relation avec l’art. 141 CPP, et le procès-verbal concerné devra être</w:t>
      </w:r>
    </w:p>
    <w:p>
      <w:r>
        <w:t>- 7 - retranché du dossier (Verniory, in Commentaire romand, Code de procédure pénale suisse, 2e éd., Bâle 2019, nn. 26-28 ad art. 158 CPP ; Moreillon/Parein-Reymond, op. cit., nn. 18-19 ad art. 158 CPP). 2.3 En l’espèce, le 20 janvier 2021, agissant sur mandat du Ministère public Strada, la Police judiciaire de Lausanne a procédé à l’audition de L.________ en qualité de prévenue (cf. PV aud. 1). A la lecture du procès-verbal, on constate qu’en début d’audition, la question suivante a été posée : « Vous êtes entendue comme prévenu [sic] au sens des articles 142ss et 157ss CP dans le cadre d’une procédure pénale dirigée contre un prévenu pour infraction à la LStup. Comment vous déterminez- vous ? ». La recourante a ensuite accusé réception de la formule « droits et obligations du prévenu » et a pris note qu’elle avait notamment le droit de refuser en tout temps de parler (droit au silence) et de collaborer. Cela étant, force est de constater qu’au début de son audition, la recourante n’a reçu aucune information circonstanciée quant aux faits qui lui étaient reprochés. Il ne lui a ainsi pas été exposé qu’elle était soupçonnée d’avoir consommé des stupéfiants, voire de s’être elle-même livrée à du trafic de stupéfiants en 2019 et 2020, étant relevé que le procès-verbal d’audition fait uniquement référence à une « procédure pénale dirigée contre un prévenu pour infraction à la LStup ». Ces circonstances ne sont exposées que dans le rapport de police du 26 janvier 2021 établi à la suite de cette audition. Ce faisant, au fil de son audition, la recourante a été amenée à répondre à des questions sur sa consommation actuelle et, finalement, sur ses relations avec D.________ (PV aud. 1, R. 5 et 6 à 9), sans avoir pu comprendre dès le départ qu’elle était soupçonnée d’avoir participé au trafic du prénommé, d’une part, et ce alors qu’elle était mineure au moment des faits, d’autre part. Finalement, le fait que, lors de son audition, la recourante était assistée d’un défenseur, en la personne d’une avocate stagiaire, est sans incidence, dans la mesure où, ce qui est déterminant, c’est l’information donnée au prévenu et la compréhension par celui-ci des faits qui lui sont reprochés. Il s’ensuit que le procès-verbal d’audition en cause est inexploitable, de même que le rapport de police qui en a découlé, à titre de preuve dérivée (art. 141 al. 4 CPP).</w:t>
      </w:r>
    </w:p>
    <w:p>
      <w:r>
        <w:t>- 8 - Le grief de la recourante basé sur une violation de l’art. 158 CPP étant fondé, il n’y a pas lieu d’examiner si l’absence d’une information suffisante constitue également une violation de l’art. 113 al. 1 CPP. 3. Au vu de ce qui précède, le recours doit être admis et l’ordonnance du 4 juin 2021 réformée en ce sens que le procès-verbal d’audition de L.________ du 20 janvier 2021 et le rapport d’investigation du 26 janvier 2021 sont retranchés du dossier, conservés à part jusqu’à la clôture définitive de la procédure, puis seront détruits. Vu l’admission du recours, les frais de la procédure, constitués en l’espèce de l’émolument d'arrêt, par 880 fr. (art. 20 al. 1 TFIP [Tarif des frais judiciaires de procédure et indemnités en matière pénale du 28 septembre 2010 ; BLV 312.03.1]), seront laissés à la charge de l’Etat (art. 428 al. 4 CPP). La recourante, qui a procédé avec l’assistance d’un avocat de choix, a droit à une indemnité pour les dépenses occasionnées par la procédure de recours. Cette indemnité sera fixée à 900 fr., sur la base d’une activité estimée à 3 heures au tarif horaire de 300 fr., à laquelle s’ajoutent 2 % pour les débours (art. 19 al. 2 TDC [Tarif des dépens en matière civile du 23 novembre 2010 ; BLV 270.11.6], applicable par renvoi de l’art. 26a al. 6 TFIP), par 6 fr., plus la TVA au taux de 7,7 %, par 23 fr. 60, soit à 930 fr. au total en chiffres arrondis. Par ces motifs, la Chambre des recours pénale prononce : I. Le recours est admis. II. L’ordonnance du 4 juin 2021 est réformée en ce sens que le procès-verbal d’audition de L.________ du 20 janvier 2021 et le rapport d’investigation du 26 janvier 2021 sont retranchés du</w:t>
      </w:r>
    </w:p>
    <w:p>
      <w:r>
        <w:t>- 9 - dossier, conservés à part jusqu’à la clôture définitive de l’affaire pénale, puis seront détruits. III. Une indemnité de 930 fr. (neuf cent trente francs) est allouée à L.________ pour la procédure de recours, à la charge de l’Etat. IV. Les frais d’arrêt, par 880 fr. (huit cent huitante francs), sont laissés à la charge de l’Etat. V. L’arrêt est exécutoire. Le président : Le greffier : Du Le présent arrêt, dont la rédaction a été approuvée à huis clos, est notifié, par l'envoi d'une copie complète, à : - Me Jérôme Benedict, avocat (pour L.________), - Ministère public central, et communiqué à : - M. le Président du Tribunal des mineurs,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