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MH16.003349 vom 25. August 2016</w:t>
      </w:r>
    </w:p>
    <w:p>
      <w:r>
        <w:t>VD Tribunal cantonal, 2016-08-25, FR</w:t>
      </w:r>
    </w:p>
    <w:p>
      <w:r>
        <w:rPr>
          <w:b/>
        </w:rPr>
        <w:t xml:space="preserve">Quelle: </w:t>
      </w:r>
      <w:r>
        <w:t>https://mcp.opencaselaw.ch/entscheid/vd_gerichte_MH16.003349</w:t>
      </w:r>
    </w:p>
    <w:p>
      <w:r>
        <w:t>FR: VD_GERICHTE MH16.003349 du 25 août 2016</w:t>
      </w:r>
    </w:p>
    <w:p>
      <w:r>
        <w:t>IT: VD_GERICHTE MH16.003349 del 25 agosto 2016</w:t>
      </w:r>
    </w:p>
    <w:p>
      <w:pPr>
        <w:pStyle w:val="Heading2"/>
      </w:pPr>
      <w:r>
        <w:t>Erwägungen</w:t>
      </w:r>
    </w:p>
    <w:p>
      <w:r>
        <w:rPr>
          <w:b/>
        </w:rPr>
        <w:t>E. 1</w:t>
      </w:r>
    </w:p>
    <w:p>
      <w:r>
        <w:t>Q.________ exploite une entreprise individuelle active dans le domaine du terrassement. A.M.________ et B.M.________ sont copropriétaires pour une demie chacun de la parcelle n° [...] de la commune de [...].N.________ et A.________ sont pour leur part copropriétaires, également pour une demie chacun, de la parcelle n° [...] de la commune de [...].</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w:t>
      </w:r>
    </w:p>
    <w:p>
      <w:r>
        <w:rPr>
          <w:b/>
        </w:rPr>
        <w:t>E. 1.2</w:t>
      </w:r>
    </w:p>
    <w:p>
      <w:r>
        <w:t>En l'espèce, formé en temps utile par une partie qui y a intérêt (art. 59 al. 2 let. a CPC), dans une cause où la valeur litigieuse dépasse 10'000 fr.,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w:t>
      </w:r>
    </w:p>
    <w:p>
      <w:r>
        <w:t>- 10 - s'applique même si la décision attaquée est de nature provisionnelle (JT 2011 III 43 c. 2 et les références citées). 3.</w:t>
      </w:r>
    </w:p>
    <w:p>
      <w:r>
        <w:rPr>
          <w:b/>
        </w:rPr>
        <w:t>E. 2</w:t>
      </w:r>
    </w:p>
    <w:p>
      <w:r>
        <w:t>A la fin de l’année 2011, l’C.________Sàrl (ci-après : l’ [...]), qui a été dissoute par décision de l’assemblée des associés du 6 mars 2015, a conclu avec les propriétaires des parcelles nos [...] et [...] deux contrats d’entreprise générale pour la construction de deux villas. Dans le cadre de la construction de ces villas, l’C.________Sàrl a fait appel à Q.________ pour des travaux de terrassement. En cours d’exécution du chantier, elle l’a en outre chargé d’effectuer d’autres travaux sur lesdites parcelles, consistant en un sondage pour les eaux claires, des travaux de remblayage, la mise en place de tout-venant sur le</w:t>
      </w:r>
    </w:p>
    <w:p>
      <w:r>
        <w:t>- 5 - chemin d’accès, la creuse de toutes les fouilles de services et de remblayages, ainsi qu’une fouille supplémentaire de 50 cm. Q.________ a allégué avoir interrompu les travaux sur les biens- fonds concernés le 24 juillet 2012, faute de paiement par l’C.________Sàrl. Il fait valoir que le solde qui lui reste dû pour les travaux effectués sur les deux parcelles s’élève à 21'410 fr., soit 9’220 fr. pour la parcelle n° [...] et 12'190 fr. pour la parcelle n° [...].</w:t>
      </w:r>
    </w:p>
    <w:p>
      <w:r>
        <w:rPr>
          <w:b/>
        </w:rPr>
        <w:t>E. 3.1</w:t>
      </w:r>
    </w:p>
    <w:p>
      <w:r>
        <w:t>L’appelant fait valoir que l’inscription des hypothèques légales des artisans et entrepreneurs obtenue par ordonnance du 13 novembre 2012 et annotée dans le délai de quatre mois a sauvegardé le délai de péremption de l’art. 839 al. 2 CC. L’accord passé ensuite entre les parties pour la fourniture de sûretés aurait remplacé la décision du juge sur les conditions requises pour que les sûretés puissent se substituer à l’inscription d’une hypothèque légale. Il considère ainsi que le délai de péremption de l’art. 839 al. 2 CC a été valablement conservé jusqu’au 1er février 2016 et que c’est à juste titre que le président avait ordonné le 27 janvier 2016, à titre superprovisionnel, l’inscription provisoire de l’hypothèque, ce qui aurait dû être confirmé. Subsidiairement, l’appelant soutient que la prolongation de sûretés peut être requise aux mêmes conditions que la prolongation de l’inscription d’une hypothèque légale.</w:t>
      </w:r>
    </w:p>
    <w:p>
      <w:r>
        <w:rPr>
          <w:b/>
        </w:rPr>
        <w:t>E. 3.2</w:t>
      </w:r>
    </w:p>
    <w:p>
      <w:r>
        <w:t>Lors de l’audience de mesures provisionnelles qui s’est tenue le 14 janvier 2013, les parties, assistées de leur conseil, ont signé une convention dont la teneur est la suivante : « I. La procédure de mesures provisionnelles est suspendue.</w:t>
      </w:r>
    </w:p>
    <w:p>
      <w:r>
        <w:t>- 6 - II. Dès réception par le requérant Q.________ d’une sûreté sous forme de deux garanties bancaires, d’un montant équivalent à celui réclamé par le requérant dans sa requête de mesures provisionnelles du 12 novembre 2012, d’une durée de trois ans, ce dernier retirera sa requête de mesures provisionnelles, chaque partie gardant ses frais et renonçant à l’allocation de dépens. Les garanties bancaires prévoiront à tout le moins que la banque s’exécutera dès réception par elle d’un jugement définitif et exécutoire à l’encontre de la société C.________Sàrl et à la hauteur des montants dus par cette société à Q.________, au [...], dans le cadre des chantiers de construction de Mme et M. A.________ et N.________ ainsi que des époux A.M.________ et B.M.________, à [...], parcelles [...] et [...] du cadastre de [...]. » Le 6 février 2013, la Banque [...] a établi une garantie bancaire n° [...] d’un montant de 10'799 fr., afin que l’inscription provisoire de l’hypothèque légale sur la parcelle n° [...] puisse être supprimée. La banque s’est engagée de manière irrévocable à payer à Q.________ indépendamment de la validité et des effets juridiques le montant de cette garantie, pour autant qu’on lui remette un jugement définitif et exécutoire condamnant l’C.________Sàrl au paiement d’une somme déterminée en faveur du bénéficiaire de la garantie et à hauteur du montant reconnu judiciairement. Cette garantie était valable jusqu’au 1er février 2016 et s’éteignait automatiquement et entièrement si la demande de paiement écrite en original ou le SWIFT authentifié n’était pas en possession de la banque d’ici cette date au plus tard. Le 10 avril 2013, la Banque [...] a établi aux mêmes conditions une garantie bancaire n° [...] d’un montant de 14'277 fr. 55, afin que l’inscription provisoire de l’hypothèque légale sur la parcelle n° [...] puisse être supprimée.</w:t>
      </w:r>
    </w:p>
    <w:p>
      <w:r>
        <w:rPr>
          <w:b/>
        </w:rPr>
        <w:t>E. 3.2.1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sont fourni des matériaux et du travail ou du travail seulement, que leur débiteur soit le propriétaire foncier, un artisan ou un entrepreneur, un locataire, un fermier ou une autre personne ayant un droit sur l’immeuble.</w:t>
      </w:r>
    </w:p>
    <w:p>
      <w:r>
        <w:rPr>
          <w:b/>
        </w:rPr>
        <w:t>E. 3.2.2</w:t>
      </w:r>
    </w:p>
    <w:p>
      <w:r>
        <w:t>L’inscription de l’hypothèque légale doit être obtenue au plus tard dans les quatre mois qui suivent l’achèvement des travaux (art. 839 al. 2 CC). Par le terme "obtenue", le texte légal indique que non seulement la réquisition, mais aussi l'inscription du droit au Registre foncier doivent intervenir dans les quatre mois (TF 5A_933/2014 du 16 avril 2015, consid.</w:t>
      </w:r>
    </w:p>
    <w:p>
      <w:r>
        <w:t>- 11 - 3.3.1). Ce délai de péremption ne peut être prolongé ou restitué, mais il peut être sauvegardé par l’annotation d’une inscription provisoire. Compte tenu de la nature de ce délai, l’obtention en temps utile de cette inscription provisoire est la seule manière dont l’entrepreneur peut sauvegarder ses droits (TF 5P.344/2005 du 23 décembre 2005, consid. 3.1 ; ATF 126 III 462 consid. 2c/aa ; ATF 119 II 429 consid. 3a-b). Par conséquent, si, pour une raison ou pour une autre, l'inscription provisoire opérée en temps utile a été radiée, l'entrepreneur ne peut requérir la réinscription provisoire de son hypothèque qu'à la condition que le délai de l'art. 839 al. 2 CC ne soit pas encore échu (TF 5P.344/2005 du 23 décembre 2005, consid. 3.1 ; ATF 119 II 429 consid. 3c in fine). C’est la raison pour laquelle il a été jugé que le recours dirigé contre un refus d'inscription provisoire d'hypothèque légale ne présente plus d'intérêt actuel et pratique pour l'entrepreneur si l'autorité de recours ne peut statuer dans les quatre mois de l'art. 839 al. 2 CC. Passé ce délai, en effet, l'entrepreneur ne pourrait de toute manière plus, même en cas d'admission du recours, acquérir le droit de gage auquel il prétend, dès lors que, son titre légal d'acquisition étant périmé, le conservateur devrait refuser de procéder à l'inscription, dont l'effet est constitutif. Aussi, passé le délai de l'art. 839 al. 2 CC, un recours contre le refus d'inscrire provisoirement une hypothèque légale des artisans et entrepreneurs n'a plus d'objet, à moins que l'inscription ait été préalablement ordonnée et exécutée à titre superprovisionnel et qu'elle figure toujours au registre foncier au moment où l'autorité de recours se prononce (TF 5P.344/2005 précité). Conformément à l'art. 961 al. 3 CC, le juge autorise l'inscription provisoire si le droit allégué lui paraît exister. L’inscription peut être requise par voie de mesures provisionnelles et, en cas d’urgence particulière, par voie de mesures superprovisionnelles (art. 265 al. 1 CPC).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w:t>
      </w:r>
    </w:p>
    <w:p>
      <w:r>
        <w:t>- 12 - invraisemblable (TF 5A_933/2014 du 16 avril 2015, consid. 3.3.2 ; TF 5A_420/2014 du 27 novembre 2014, consid. 3.2 ; TF 5D_116/2014 du 13 octobre 2014 consid. 5.3). A moins que le droit à la constitution de l'hypothèque n'existe manifestement pas, le juge qui en est requis doit ordonner l'inscription provisoire.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5A_420/2014 du 27 novembre 2014, consid. 3.2 ; TF 5A_475/2010 du 15 septembre 2010, consid. 3.1.2 et les réf. citées).</w:t>
      </w:r>
    </w:p>
    <w:p>
      <w:r>
        <w:rPr>
          <w:b/>
        </w:rPr>
        <w:t>E. 3.2.3</w:t>
      </w:r>
    </w:p>
    <w:p>
      <w:r>
        <w:t>ci-dessus). De même, la signature de cette convention dispensait le juge du devoir de vérifier que les conditions même d’inscription d’une hypothèque légale étaient remplies, au stade des mesures provisionnelles. On pouvait donc attendre de l’appelant, dûment assisté d’un avocat, qu’il procède à un examen minutieux de la portée – notamment temporelle – des sûretés proposées, d’autant plus qu’elles étaient constituées à titre définitif et non provisoire. Partant, en faisant radier les hypothèques légales des artisans et entrepreneur du Registre foncier, l’appelant a définitivement perdu les droits issus des art. 837ss CC et c’est à juste titre que le premier juge a rejeté les conclusions de l’appelant tendant à la réinscription des hypothèques légales radiées, le délai de déchéance étant manifestement échu.</w:t>
      </w:r>
    </w:p>
    <w:p>
      <w:r>
        <w:rPr>
          <w:b/>
        </w:rPr>
        <w:t>E. 3.3</w:t>
      </w:r>
    </w:p>
    <w:p>
      <w:r>
        <w:t>Par courrier du 15 avril 2013, Q.________ a remis au tribunal d’arrondissement copie des deux garanties bancaires et précisé que, dans ces circonstances, la requête d’inscription provisoire des deux hypothèques légales en lien avec les parcelles nos [...] et [...] de la commune de [...] était devenue sans objet.</w:t>
      </w:r>
    </w:p>
    <w:p>
      <w:r>
        <w:t>- 7 - Par avis du 18 avril 2013, le président a pris acte du retrait, par la partie requérante, de la requête de mesures provisionnelles du 12 novembre 2012, déclaré l’ordonnance de mesures superprovisionnelles du 13 novembre 2012 caduque et rayé la cause du rôle. Le président a également prié le conservateur du Registre foncier, office du Jura-Nord vaudois, de procéder à la radiation des hypothèques légales inscrites à titre superprovisionnel.</w:t>
      </w:r>
    </w:p>
    <w:p>
      <w:r>
        <w:rPr>
          <w:b/>
        </w:rPr>
        <w:t>E. 3.3.1</w:t>
      </w:r>
    </w:p>
    <w:p>
      <w:r>
        <w:t>En l’espèce, l’appelant a obtenu, par ordonnance de mesures superprovisionnelles du 13 novembre 2012, l’inscription provisoire d’une hypothèque légale des artisans et entrepreneurs sur les parcelles des</w:t>
      </w:r>
    </w:p>
    <w:p>
      <w:r>
        <w:t>- 14 - intimés. A ce stade-là, le délai de péremption de l’art. 839 al. 2 CC était sauvegardé. Lors de l’audience de mesures provisionnelles du 14 janvier 2013, les parties, chacune assistée d’un avocat, ont signé une convention prévoyant la fourniture de sûretés par les intimés sous forme de garanties bancaires d’une durée de trois ans, moyennant quoi l’appelant retirerait sa requête de mesures provisionnelles. Les parties ont également convenu que ces sûretés seraient remises non pas à titre provisoire, comme c’est généralement le cas – ce qui suppose qu’un procès au fond portant sur les sûretés aura lieu –, mais à titre définitif : les garanties devaient prévoir que la banque s’exécuterait dès réception d’un jugement définitif et exécutoire à l’encontre de la société C.________Sàrl. Seul un procès au fond contre l’entrepreneur général devait ainsi être ouvert. Les intimés ont dès lors constitué les garanties bancaires telles que prévues par la convention, valables jusqu’au 1er février 2016, et l’appelant a adressé au président du tribunal d’arrondissement un courrier l’informant que sa requête d’inscription des deux hypothèques légales était devenue sans objet. Le président en a pris acte et a requis le conservateur du registre foncier de radier les inscriptions provisoires. L’appelant considère, en se fondant sur l’arrêt paru aux ATF 119 II 429, qu’une fois l’inscription de l’hypothèque légale opérée, l’acte conservatoire que prescrit la loi sous peine de péremption est accompli, de sorte que le délai sera en principe respecté une fois pour toutes. L’arrêt précité indique effectivement (consid. 3b) que, de jurisprudence constante, un délai de péremption ne peut être interrompu et, partant, si l’acte conservatoire prescrit par la loi est accompli, le délai est respecté une fois pour toutes et la péremption ne peut intervenir en cours d’instance. L’appelant perd toutefois que vue que, si le délai de déchéance est effectivement respecté « une fois pour toutes », encore faut-il pour que ses effets perdurent que l’inscription au registre foncier demeure. Tel n’est pas le cas si l’inscription est radiée. Le chapeau de l’arrêt le mentionne d’ailleurs expressément : « Tant qu'elle n'est pas radiée au registre foncier, l'inscription provisoire de l'hypothèque légale des artisans</w:t>
      </w:r>
    </w:p>
    <w:p>
      <w:r>
        <w:t>- 15 - et entrepreneurs sauvegarde le délai péremptoire de l’art. 839 al. 2 CC, dans la mesure où l'inscription a eu lieu dans les trois mois (selon l’ancien droit) qui suivent l'achèvement des travaux. » De même, le Tribunal fédéral précise à son considérant 3c que, si l’inscription provisoire avait été radiée, « le recourant aurait dû requérir, par voie de mesures provisionnelles, la réinscription provisoire de l'hypothèque, dans le délai prévu par l’art. 839 al. 2 CC (ATF 66 II 105 consid. 2 p. 109 ; cf. ég. Schumacher, op. cit., nos 733 et 754) ». Si l’inscription provisoire est radiée, le délai de l’art. 839 al. 2 CC n’est plus sauvegardé. L’appelant mentionne d’ailleurs lui-même dans son écriture d’appel (p. 4, let. g), en se fondant sur la jurisprudence du Tribunal fédéral, que « l’artisan ou l’entrepreneur qui a obtenu l’inscription d’une hypothèque légale peut, même s’il a consenti à la radiation, requérir une seconde fois cette inscription s’il agit dans le délai de l’art. 839 al. 2 CC » et que, « tant qu’elle n’est pas radiée au RF, l’inscription provisoire sauvegarde le délai péremptoire de l’art. 839 al. 2 CC ». Or, dans le cas d’espèce, l’inscription provisoire des deux hypothèques légales a bien été radiée. Elle a donc cessé de produire ses effets et la question de savoir si elle avait été inscrite à temps est devenue sans pertinence. Le droit à la constitution de cette hypothèque légale s’est définitivement éteint au moment de la radiation et il ne peut revivre, passé le délai de quatre mois de l’art. 839 al. 2 CC.</w:t>
      </w:r>
    </w:p>
    <w:p>
      <w:r>
        <w:rPr>
          <w:b/>
        </w:rPr>
        <w:t>E. 3.3.2</w:t>
      </w:r>
    </w:p>
    <w:p>
      <w:r>
        <w:t>Le fait que les parties aient convenu de remplacer l’inscription d’une hypothèque légale par des sûretés d’une durée déterminée ne change rien à ce qui précède. Le délai de quatre mois est échu et, avec lui, le droit à obtenir l’inscription d’une hypothèque légale. L’appelant ne peut soutenir à cet égard que le délai de péremption a été valablement conservé jusqu’au 1er février 2016. A juste titre, le premier juge a retenu qu’il incombait à l’appelant de vérifier si les sûretés fournies étaient suffisantes avant de signer une convention de constitution de sûretés. En effet, dès lors que les</w:t>
      </w:r>
    </w:p>
    <w:p>
      <w:r>
        <w:t>- 16 - sûretés faisaient l’objet d’un accord entre les parties, le premier juge n’avait pas à examiner leur caractère adéquat et suffisant (cf. consid.</w:t>
      </w:r>
    </w:p>
    <w:p>
      <w:r>
        <w:rPr>
          <w:b/>
        </w:rPr>
        <w:t>E. 3.3.3</w:t>
      </w:r>
    </w:p>
    <w:p>
      <w:r>
        <w:t>L’appelant conclut à titre subsidiaire à ce qu’ordre soit donné aux intimés de reconstituer des sûretés. Il n’existe toutefois aucune base légale permettant à un artisan ou à un entrepreneur d’exiger la fourniture de sûretés. S’il a un droit, aux conditions des art. 837ss CC, à l’inscription d’une hypothèque légale, la fourniture de sûretés prévue par l’art. 839 al. 2 CC est une faculté offerte au propriétaire du bien-fonds concerné. Celui-ci peut l’exercer soit unilatéralement, sans l’accord du créancier, auquel cas le juge doit notamment vérifier le caractère suffisant des sûretés, soit conventionnellement, comme en l’espèce, sans vérification par le juge. Comme retenu ci-dessus, dès lors que l’artisan ou l’entrepreneur ne conteste pas le caractère suffisant des sûretés, c’est à lui qu’il appartient d’en faire l’examen. S’il s’avère par la suite que les sûretés étaient insuffisantes, la loi ne fait pas renaître un nouveau délai pour requérir une inscription d’hypothèque légale, à laquelle le propriétaire ne pourrait échapper qu’en fournissant de nouvelles sûretés.</w:t>
      </w:r>
    </w:p>
    <w:p>
      <w:r>
        <w:t>- 17 - On ne discerne pas non plus de fondement contractuel à la prétention examinée ici : la convention signée par les parties ne prévoit rien qui irait dans le sens d’une possibilité pour l’appelant de demander la prolongation des sûretés fixées pour une durée déterminée. Encore une fois, il appartenait à l’appelant d’examiner le caractère suffisant – notamment quant à sa durée – des sûretés proposées. L’appelant n’a donc aucun droit à obtenir la constitution de nouvelles sûretés de la part des intimés.</w:t>
      </w:r>
    </w:p>
    <w:p>
      <w:r>
        <w:rPr>
          <w:b/>
        </w:rPr>
        <w:t>E. 3.3.4</w:t>
      </w:r>
    </w:p>
    <w:p>
      <w:r>
        <w:t>Quant au droit à la prolongation des sûretés invoqué par l’appelant, il supposerait soit qu’une hypothèque légale fût encore inscrite au Registre foncier, soit que la prolongation soit requise avant l’échéance du délai de péremption de l’art. 839 al. 3 CC. En effet, à supposer qu’il existât, ce qui ne ressort pas du texte légal concerné, le droit à disposer de sûretés serait un corollaire du droit à obtenir une hypothèque légale à titre définitif. L’entrepreneur ne peut en effet obtenir la réalisation de la garantie que constitue l’hypothèque légale qu’une fois celle-ci inscrite au Registre foncier à titre définitif (ATF 137 III 589 consid. 1.2). A partir du moment où l’entrepreneur perd le droit à l’obtention d’une telle hypothèque légale, il perd également le droit (supposé existant) à disposer de sûretés en remplacement de cette hypothèque. Ainsi, l’appelant n’a aucun droit à voir prolongées les sûretés constituées par transaction. 4. En définitive, l'appel doit être rejeté et l'ordonnance attaquée confirmée. Il est toutefois précisé que le chiffre III de l’ordonnance entreprise ne sera exécutoire qu’à l’échéance d’un délai de 40 jours à compter de la notification du présent arrêt. Les frais judiciaire de deuxième instance de l'appelant, arrêtés à 800 fr. (art. 65 al. 1 TFJC [tarif des frais judiciaires civils du 28 septembre 2010; RSV 270.11.5]), sont laissés provisoirement à la charge de l’Etat (art. 122 al. 1 let. b CPC).</w:t>
      </w:r>
    </w:p>
    <w:p>
      <w:r>
        <w:t>- 18 - En sa qualité de conseil d’office de l'appelante, Me Alexandre Reil a droit à une rémunération équitable pour ses opérations et débours dans la procédure d’appel (art. 122 al. 1 let. a CPC). Celui-ci a produit, en date du 14 septembre 2016, une liste des opérations indiquant 7h37 de travail consacré à la procédure de deuxième instance, dont 6h32 par un avocat-stagiaire, et des débours par 7 fr. 30. Ce décompte peut être admis. L’indemnité d’office due à Me Reil, calculée au tarif horaire de 180 fr. pour le travail d'avocat et de 110 fr. pour celui de l'avocate-stagiaire (art. 2 al. 1 let. a et b RAJ [Règlement sur l'assistance judiciaire en matière civile, RSV 211.02.3]), doit ainsi être arrêtée à 913 fr. pour ses honoraires, plus 73 fr. de TVA au taux de 8%, et 7 fr. 90, TVA comprise, pour ses débours, soit une indemnité totale de 993 fr. 90. Le bénéficiaire de l’assistance judiciaire est, dans la mesure de l’art. 123 CPC, tenu au remboursement des frais judiciaires et de l’indemnité du conseil d’office mis à la charge de l’Etat. L'appelant versera aux intimés, solidairement entre eux, la somme de 2’000 fr. à titre de dépens de deuxième instance (art. 106 CPC). Par ces motifs, le Juge délégué de la Cour d’appel civile prononce : I. L’appel est rejeté. II. L’ordonnance est confirmée. Il est précisé que le chiffre III de l’ordonnance entreprise ne sera exécutoire qu’à l’échéance d’un délai de 40 jours à compter de la notification du présent arrêt.</w:t>
      </w:r>
    </w:p>
    <w:p>
      <w:r>
        <w:t>- 19 - III. Les frais judiciaires de deuxième instance, arrêtés à 800 fr. (huit cents francs), sont laissés à la charge de l'Etat. IV. L'indemnité d'office de Me Alexandre Reil, conseil de l'appelant, est arrêtée à 993 fr. 90 (neuf cent nonante-trois francs et nonante centimes), TVA et débours compris. V. Le bénéficiaire de l'assistance judiciaire est, dans la mesure de l'art. 123 CPC, tenu au remboursement des frais judiciaires et de l'indemnité du conseil d'office mis à la charge de l'Etat. VI. L'appelant Q.________ doit verser aux intimés A.M.________, B.M.________, N.________ et A.________, solidairement entre eux, la somme de 2’000 fr. (deux mille francs), à titre de dépens de deuxième instance. VII. L'arrêt est exécutoire. Le juge délégué : La greffière : Du Le présent arrêt, dont la rédaction a été approuvée à huis clos, est notifié en expédition complète à : - Me Alexandre Reil (pour Q.________), - Me Pierre-Alexandre Schlaeppi (pour A.M.________ et B.M.________, N.________ et A.________),</w:t>
      </w:r>
    </w:p>
    <w:p>
      <w:r>
        <w:t>- 20 -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w:t>
      </w:r>
    </w:p>
    <w:p>
      <w:r>
        <w:t>Par demande adressée le 25 juin 2013 au Président du Tribunal civil de l’arrondissement de La Broye et du Nord vaudois, Q.________ a ouvert action en paiement contre l’C.________Sàrl. Il a notamment conclu à ce que la défenderesse lui doive prompt et immédiat paiement de la somme de 28'626 fr. 80. Dans le cadre de la procédure au fond, une expertise a été mise en œuvre. L’expert [...] a déposé un rapport le 6 mars 2015, complété par courrier du 27 mai 2015 pour tenir compte d’une erreur de frappe. Il ressort de ce rapport que le solde dû par l’C.________Sàrl à Q.________ en lien avec les travaux pour les parcelles nos [...] et [...] de la commune de [...] s’élève à 20'360 fr., soit 7'820 fr. à la charge de la parcelle n° [...] et 12'540 fr. à la charge de la parcelle n° [...]. Par jugement par défaut rendu le 18 novembre 2015, le Tribunal civil de l’arrondissement de la Broye et du Nord vaudois a notamment admis la demande déposée le 25 juin 2013 par Q.________ et dit que l’C.________Sàrl est la débitrice de Q.________ de la somme de 7'820 fr. au titre des travaux effectués sur la parcelle n° [...] et de la somme de 12'540 fr. au titre des travaux effectués sur la parcelle n° [...].</w:t>
      </w:r>
    </w:p>
    <w:p>
      <w:r>
        <w:rPr>
          <w:b/>
        </w:rPr>
        <w:t>E. 5.1</w:t>
      </w:r>
    </w:p>
    <w:p>
      <w:r>
        <w:t>Par requête de mesures provisionnelles et superprovisionnelles du 22 janvier 2016 dirigée contre A.M.________ et B.M.________, N.________ et A.________, Q.________ a conclu principalement à ce que soit ordonnée l’inscription provisoire d’une hypothèque légale des artisans et entrepreneurs d’un montant de 9'220 fr., avec intérêts à 5 % l’an dès le</w:t>
      </w:r>
    </w:p>
    <w:p>
      <w:r>
        <w:t>- 8 - 27 août 2012, plus accessoires, jusqu’à l’échéance d’un délai de 60 jours dès l’entrée en force du jugement au fond, grevant l’immeuble sis sur la parcelle n° [...] de la commune de [...] dont N.________ et A.________ sont copropriétaires (I), à ce que soit ordonnée l’inscription provisoire d’une hypothèque légale des artisans et entrepreneurs d’un montant de 12'190 fr., avec intérêts à 5 % l’an dès le 27 août 2012, plus accessoires, jusqu’à l’échéance d’un délai de 60 jours dès l’entrée en force du jugement au fond, grevant l’immeuble sis sur la parcelle n° [...] de la commune de [...] dont A.M.________ et B.M.________ sont copropriétaires (V) et à ce que le Conservateur du registre foncier du Jura-Nord vaudois et du Gros-de-Vaud procède sans délai à ces inscriptions (II et VI). Subsidiairement à ces conclusions, le requérant a conclu à ce que les intimés soient condamnés à reconstituer en sa faveur des sûretés, pour un montant de 9'220 fr. s’agissant de N.________ et A.________ et de 12'190 fr. s’agissant de A.M.________ et B.M.________, avec intérêts à 5 % l’an dès le 27 août 2012 plus accessoires, d’ici au 28 janvier 2016, et, à défaut, à ce que l’inscription provisoire des hypothèques légales des artisans et entrepreneurs soit ordonnée et le conservateur du registre foncier chargé d’y procéder (III, IV, VII, VIII).</w:t>
      </w:r>
    </w:p>
    <w:p>
      <w:r>
        <w:rPr>
          <w:b/>
        </w:rPr>
        <w:t>E. 5.2</w:t>
      </w:r>
    </w:p>
    <w:p>
      <w:r>
        <w:t>Par ordonnance de mesures superprovisionnelles du 27 janvier 2016, le président a en substance ordonné, d’une part, l’inscription provisoire au Registre foncier d’une hypothèque légale des artisans et entrepreneurs d’un montant de 9'220 fr., avec intérêt à 5 % l’an dès le 27 août 2012, plus accessoires légaux, en faveur de Q.________, sur l’immeuble dont N.________ et A.________ sont copropriétaires sur le territoire de la commune de [...] (parcelle n° [...]) (I) et, d'autre part, l’inscription provisoire d’une hypothèque légale des artisans et entrepreneurs d’un montant de 12'190 fr., avec intérêt à 5 % l’an dès le 27 août 2012, plus accessoires légaux, en faveur de Q.________, sur l’immeuble dont A.M.________ et B.M.________ sont copropriétaires sur le territoire de la commune de [...] (parcelle n° [...]) (II).</w:t>
      </w:r>
    </w:p>
    <w:p>
      <w:r>
        <w:t>- 9 -</w:t>
      </w:r>
    </w:p>
    <w:p>
      <w:r>
        <w:rPr>
          <w:b/>
        </w:rPr>
        <w:t>E. 5.3</w:t>
      </w:r>
    </w:p>
    <w:p>
      <w:r>
        <w:t>Par déterminations du 14 mars 2016, les intimés ont conclu au rejet des conclusions prises dans la requête de mesures provisionnelles et superprovisionnelles du 22 janvier 2016 et à la radiation des inscriptions provisoires ordonnées par l’ordonnance de mesures superprovisionnelles du 27 janvier 2016.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