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MH14.045919 vom 5. Mai 2015</w:t>
      </w:r>
    </w:p>
    <w:p>
      <w:r>
        <w:t>VD Tribunal cantonal, 2015-05-05, FR</w:t>
      </w:r>
    </w:p>
    <w:p>
      <w:r>
        <w:rPr>
          <w:b/>
        </w:rPr>
        <w:t xml:space="preserve">Quelle: </w:t>
      </w:r>
      <w:r>
        <w:t>https://mcp.opencaselaw.ch/entscheid/vd_gerichte_MH14.045919</w:t>
      </w:r>
    </w:p>
    <w:p>
      <w:r>
        <w:t>FR: VD_GERICHTE MH14.045919 du 5 mai 2015</w:t>
      </w:r>
    </w:p>
    <w:p>
      <w:r>
        <w:t>IT: VD_GERICHTE MH14.045919 del 5 maggio 2015</w:t>
      </w:r>
    </w:p>
    <w:p>
      <w:pPr>
        <w:pStyle w:val="Heading2"/>
      </w:pPr>
      <w:r>
        <w:t>Erwägungen</w:t>
      </w:r>
    </w:p>
    <w:p>
      <w:r>
        <w:rPr>
          <w:b/>
        </w:rPr>
        <w:t>E. 1</w:t>
      </w:r>
    </w:p>
    <w:p>
      <w:r>
        <w:t>L’art. 110 CPC (Code de procédure civile du 19 décembre 2008 ; RS 272) ouvre la voie du recours des art. 319 ss CPC contre les décision sur les frais. Interjeté en temps utile, par des parties y ayant un intérêt, le recours est recevable.</w:t>
      </w:r>
    </w:p>
    <w:p>
      <w:r>
        <w:t>- 6 -</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Elle revoit librement les questions de droit soulevées par le recourant et peut substituer ses propres motifs à ceux de l'autorité précédente ou du recourant (Hohl, Procédure civile, tome II, 2e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2e éd., 2014, n° 27 ad art. 97).</w:t>
      </w:r>
    </w:p>
    <w:p>
      <w:r>
        <w:rPr>
          <w:b/>
        </w:rPr>
        <w:t>E. 3</w:t>
      </w:r>
    </w:p>
    <w:p>
      <w:r>
        <w:t>Les recourants soutiennent que la convention du 6 janvier 2015 ne concernait pas les frais d’avocat de l’intimée et qu’ils ne l’auraient pas signée s’ils avaient su que tel était le cas. Selon l'art. 18 al. 1 CO (Code des obligations du 30 mars 1911 ; RS 220),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(art. 105 al. 1 LTF; ATF 132 III 268 c. 2.3.2; 129 III 664 c.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 2.3.2; 129 III 702 c. 2.4). Cette interprétation objective s'effectue non seulement d'après le texte et le contexte des déclarations, mais également sur le vu des circonstances qui les ont précédées et</w:t>
      </w:r>
    </w:p>
    <w:p>
      <w:r>
        <w:t>- 7 - accompagnées, à l'exclusion des événements postérieurs (ATF 135 III 295 c. 5.2; 132 III 626 c. 3.1 in fine; TF 4A_219/2012 du 30 juillet 2012 c. 2.5). En effet, le comportement ultérieur des parties n’a pas d’importance dans l’interprétation objective du contrat, le moment déterminant étant celui de la conclusion du contrat (ATF 132 III 626 c. 3.1, JT 2007 I 423).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(cf. ATF 136 III 186 c. 3.2.1 ; 135 III 295 c. 5.2 ; 133 III 61 c. 2.2.1, 675 c. 3.3 ). En l’espèce, il y a lieu de constater une divergence des volontés réelles exprimées par G.________ et H.________, d’une part, et l’intimée, d’autre part, quant à l’étendue des frais couverts par l’art. 4 de la convention en cause, les premiers considérant qu’ils se limitaient aux frais d’annulation des procédures ouvertes par les sous-traitants, alors que la seconde soutient que ces frais couvraient les honoraires de son conseil. On ne peut donc déterminer qu’elle était la réelle et commune intention des parties sur ce point. Du point de vue de l’interprétation objective, l’art. 4 de la convention mentionne « les frais d’annulation » des « procédures visant à l’inscription d’hypothèques légales » alors en cours et à venir, « respectivement tous frais en relations avec lesdites procédures ». Au vu de la lettre de cette disposition, G.________ et H.________ ne pouvaient de bonne foi considérer que seuls étaient visés les frais d’annulation des procédures ouvertes par les sous-traitants. Les frais d’avocat de l’intimée étant en relation avec les procédures d’inscription d’hypothèques légales, ils entrent dans la définition des frais couverts par l’art. 4 de la</w:t>
      </w:r>
    </w:p>
    <w:p>
      <w:r>
        <w:t>- 8 - convention. Il n’y a à cet égard aucun motif de s’écarter de l’interprétation littérale et G.________ et H.________ doivent se voir opposer cette interprétation, même si telle n’était pas leur volonté lorsqu’ils ont signé la convention en cause. Vu la large étendue des frais couvert par l’art. 4 de la convention, il leur appartenait de faire préciser cette disposition dans le cadre des négociations, voire de demander expressément d’exclure des frais d’avocat. Pour les autres recourants, il y a lieu de relever que le premier juge a attiré à deux reprises leur attention sur le fait que le sort des frais et dépens était couvert par l’art. 4 de la convention. Ils ont donc donné en connaissance de cause leur accord à cette convention.</w:t>
      </w:r>
    </w:p>
    <w:p>
      <w:r>
        <w:rPr>
          <w:b/>
        </w:rPr>
        <w:t>E. 4</w:t>
      </w:r>
    </w:p>
    <w:p>
      <w:r>
        <w:t>Les recourants soutiennent que le montant des honoraires d’avocat mis à leur charge est trop élevé. Selon l’art. 3 al. 2 TDC (tarif du 23 novembre 2010 des dépens en matière civile ; RSV 270.11.6), dans les contestations portant sur des affaires patrimoniales, le défraiement est fixé, selon le type de procédure et dans les limites des tableaux figurant aux articles 4 à 8 et 10 à 13 du présent tarif, en considération de l'importance de la cause, de ses difficultés, de l'ampleur du travail et du temps consacré par l'avocat ou l'agent d'affaires breveté. A cet égard, le juge apprécie l'étendue des opérations nécessaires pour la conduite du procès. L’article 6 TDC prévoit, pour une valeur de 30'000 à 100'000 fr. un défraiement de 1'500 fr. à 6'000 fr. en procédure sommaire, montants auxquels s’ajoutent 5 % de débours en application de l’art. 19 al. 2 TDC. En l’espèce, les montants alloués par le premier juge dans chaque dossier sont inclus dans la fourchette de l’art. 6 TDC et paraissent justifiés par le fait qu’il y avait trois procédures distinctes et que le conseil de l’intimée a mené des négociations.</w:t>
      </w:r>
    </w:p>
    <w:p>
      <w:r>
        <w:t>- 9 -</w:t>
      </w:r>
    </w:p>
    <w:p>
      <w:r>
        <w:rPr>
          <w:b/>
        </w:rPr>
        <w:t>E. 5</w:t>
      </w:r>
    </w:p>
    <w:p>
      <w:r>
        <w:t>Subsidiairement, les recourants concluent à l’annulation de la convention du 6 janvier 2015 et à la poursuite de la procédure en première instance. Selon la jurisprudence, aucune voie de droit (appel ou recours) n'est ouverte contre la "décision" rayant la cause du rôle ensuite d'une transaction judiciaire et contre la transaction judiciaire elle-même. Des vices formels ou matériels affectant la transaction ne peuvent être invoqués que dans le cadre d'une procédure de révision. La décision de radiation peut être attaquée par un recours uniquement sur la question des frais de procédure (ATF 139 III 133 c. 1.2. et 1.3, JT 2014 II 268). La conclusion subsidiaire des recourants est en conséquence irrecevable.</w:t>
      </w:r>
    </w:p>
    <w:p>
      <w:r>
        <w:rPr>
          <w:b/>
        </w:rPr>
        <w:t>E. 6</w:t>
      </w:r>
    </w:p>
    <w:p>
      <w:r>
        <w:t>En conclusion, le recours doit être rejeté selon le mode procédural de l’art. 322 al. 1 CPC et la décision confirmée. Vu le rejet du recours, les frais judiciaires de deuxième instance, arrêtés à 200 fr. (art. 69 al. 1 et 70 al. 3 TFJC [tarif du 28 septembre 2010 des frais judiciaires civils ; RSV 270.11.5), doivent être mis à la charge des recourants (art. 106 al. 1 CPC). Il n’y a pas lieu d’allouer de dépens de deuxième instance, l’intimée s’étant déterminée alors qu’elle n’avait pas été invitée à le faire.</w:t>
      </w:r>
    </w:p>
    <w:p>
      <w:r>
        <w:t>- 10 - Par ces motifs, la Chambre des recours civile du Tribunal cantonal, en application de l'art. 322 al. 1 CPC, prononce : I. Le recours est rejeté. II. La décision est confirmée. III. Les frais judiciaires de deuxième instance, arrêtés à 200 fr. (deux cents francs) sont mis à la charge solidairement des recourants G.________, Z.________, P.________, H.________, C.________ et T.________. IV. L’arrêt motivé est exécutoire. Le président : Le greffier : Du 21 mai 2015 Le dispositif de l'arrêt qui précède est communiqué par écrit aux intéressés. Le greffier :</w:t>
      </w:r>
    </w:p>
    <w:p>
      <w:r>
        <w:t>- 11 - Du L'arrêt qui précède, dont la rédaction a été approuvée à huis clos, est notifié en expédition complète, par l'envoi de photocopies, à : - M. G.________ (pour Z.________, P.________, H.________, C.________ et T.________), - Me Jérôme Picot (pour B.________ Sàrl).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