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ME24.054175 vom 27. Januar 2025</w:t>
      </w:r>
    </w:p>
    <w:p>
      <w:r>
        <w:t>VD Tribunal cantonal, 2025-01-27, FR</w:t>
      </w:r>
    </w:p>
    <w:p>
      <w:r>
        <w:rPr>
          <w:b/>
        </w:rPr>
        <w:t xml:space="preserve">Quelle: </w:t>
      </w:r>
      <w:r>
        <w:t>https://mcp.opencaselaw.ch/entscheid/vd_gerichte_ME24.054175</w:t>
      </w:r>
    </w:p>
    <w:p>
      <w:r>
        <w:t>FR: VD_GERICHTE ME24.054175 du 27 janvier 2025</w:t>
      </w:r>
    </w:p>
    <w:p>
      <w:r>
        <w:t>IT: VD_GERICHTE ME24.054175 del 27 gennaio 2025</w:t>
      </w:r>
    </w:p>
    <w:p>
      <w:pPr>
        <w:pStyle w:val="Heading2"/>
      </w:pPr>
      <w:r>
        <w:t>Erwägungen</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 l'enfant.</w:t>
      </w:r>
    </w:p>
    <w:p>
      <w:r>
        <w:rPr>
          <w:b/>
        </w:rPr>
        <w:t>E. 3.2.1</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3.2.2</w:t>
      </w:r>
    </w:p>
    <w:p>
      <w:r>
        <w:t>Selon l'art. 5 let. a CLaH80, le droit de garde comprend le droit portant sur les soins de la personne de l'enfant, et en particulier celui de décider de son lieu de résidence.</w:t>
      </w:r>
    </w:p>
    <w:p>
      <w:r>
        <w:t>- 22 -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5A_617/2022 et 5A_621/2022 du 28 septembre 2022 consid. 4.1.2 ; TF 5A_954/2021 du 3 janvier 2022 consid. 4.1.2 et réf. cit.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5A_617/2022 et 5A_621/2022 précités consid. 4.1.2 ; TF 5A_954/2021 précité consid. 4.1.2 ; TF 5A_281/2020 du 27 avril 2021 consid. 3.2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5A_617/2022 et 5A_621/2022 précités consid. 4.1.2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w:t>
      </w:r>
    </w:p>
    <w:p>
      <w:r>
        <w:t>- 23 - 136 III 353 consid. 3.5 ; TF 5A_954/2021 précité consid. 4.1.3 ; TF 5A_982/2018 précité consid. 3 ; TF 5A_577/2014 du 21 août 2014 consid.</w:t>
      </w:r>
    </w:p>
    <w:p>
      <w:r>
        <w:rPr>
          <w:b/>
        </w:rPr>
        <w:t>E. 3.3.1</w:t>
      </w:r>
    </w:p>
    <w:p>
      <w:r>
        <w:t>Dans la mesure où, avant son déplacement en Suisse, le mineur concerné avait sa résidence habituelle en Suède, l’attribution du droit de garde au sens de la CLaH80 doit être examinée en vertu du droit suédois.</w:t>
      </w:r>
    </w:p>
    <w:p>
      <w:r>
        <w:rPr>
          <w:b/>
        </w:rPr>
        <w:t>E. 3.3.2</w:t>
      </w:r>
    </w:p>
    <w:p>
      <w:r>
        <w:t>Selon le chapitre 2, paragraphe 1 du Code parental suédois (Föräldrabalk), lorsqu’une femme donne naissance à un enfant hors mariage, les services sociaux ont le devoir d’établir la paternité de celui-ci. Pour ce faire, le père doit signer une reconnaissance de paternité que la mère co-signe. La mère non mariée qui donne naissance à l’enfant obtient ex lege l’autorité parentale exclusive. Les parents non mariés peuvent néanmoins signifier aux autorités compétentes qu’ils partageront l’autorité parentale sur l’enfant (chapitre 6, paragraphe 4, du Code parental suédois). Au sens du Code parental suédois (cf. chapitre 6, paragraphe 2), le parent titulaire de l’autorité parentale est responsable du bien-être de l’enfant, de son éducation et de ses besoins et a le droit de prendre des décisions s’agissant de la situation de l’enfant. Si les deux parents ont</w:t>
      </w:r>
    </w:p>
    <w:p>
      <w:r>
        <w:t>- 24 - l’autorité parentale conjointe, ils doivent prendre en commun les décisions relatives à la santé de l’enfant, sa scolarité ou encore sa résidence habituelle.</w:t>
      </w:r>
    </w:p>
    <w:p>
      <w:r>
        <w:rPr>
          <w:b/>
        </w:rPr>
        <w:t>E. 3.3.3</w:t>
      </w:r>
    </w:p>
    <w:p>
      <w:r>
        <w:t>En l’espèce, les parties ne sont pas mariées. Le 2 juillet 2019, elles ont signé un document attestant que le demandeur est bien le père de G.________ et qu’elles partagent l’autorité parentale sur celui-ci. Ensuite de leur séparation, le Tribunal du district [...] a confirmé l’autorité parentale conjointe des parties par jugement du 13 janvier 2023. En vertu de ce qui précède et du droit suédois établi par le demandeur, quand bien même la garde de fait était exercée par la mère, les parents conservaient tous deux l’autorité parentale conjointe, qui correspond à la notion de droit de garde au sens de la CLaH80. Aussi, les parties devaient prendre ensemble les décisions importantes relatives à leur fils, notamment pour le changement de résidence de celui-ci. Le départ en Suisse en octobre 2024 a certes été consenti par le père de l’enfant, si bien que le déplacement hors de Suède n’est en soi pas illicite. En revanche, le non-retour le 7 novembre 2024, même reporté pour cause de maladie, est intervenu en violation manifeste de l’accord donné par le père, lequel bénéficiait à cette date et de manière effective d’un droit de garde (autorité parentale) sur l’enfant au sens (autonome) de la CLaH80. Rien au dossier ne permet d’affirmer que le demandeur avait renoncé unilatéralement à son droit de garde, la défenderesse ne soutenant d’ailleurs pas une telle hypothèse. Au contraire, le demandeur a introduit sa demande en retour de l’enfant moins d’un mois après avoir appris le non-retour non consenti en Suède, de sorte qu’il ne saurait être considéré qu’il y avait renoncé. Le non-retour de G.________ viole ainsi le droit de garde du père au sens de l'art. 5 CLaH80, qui comprend le droit de décider du lieu</w:t>
      </w:r>
    </w:p>
    <w:p>
      <w:r>
        <w:t>- 25 - de résidence de l’enfant. Il doit en conséquence être considéré comme illicite au sens de l'art. 3 CLaH80.</w:t>
      </w:r>
    </w:p>
    <w:p>
      <w:r>
        <w:rPr>
          <w:b/>
        </w:rPr>
        <w:t>E. 3.4</w:t>
      </w:r>
    </w:p>
    <w:p>
      <w:r>
        <w:t>; TF 5A_764/2009 du 11 janvier 2010 consid. 3.1).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4.1</w:t>
      </w:r>
    </w:p>
    <w:p>
      <w:r>
        <w:t>Il convient d’examiner si les conditions temporelles de la demande en retour sont réalisées.</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 retour, l'objectif de la convention étant d'assurer le retour au statu quo ante.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w:t>
      </w:r>
    </w:p>
    <w:p>
      <w:r>
        <w:rPr>
          <w:b/>
        </w:rPr>
        <w:t>E. 4.3</w:t>
      </w:r>
    </w:p>
    <w:p>
      <w:r>
        <w:t>En l’occurrence, le demandeur a déposé sa requête en vue du retour de G.________ le 2 décembre 2024, après avoir compris au plus tard à mi-novembre 2024 que la défenderesse et leur enfant mineur ne reviendraient pas en Suède à l’issue de leur séjour en Suisse. Ainsi, déposée dans un délai de deux semaines à compter du non-retour, la demande respecte le délai d’un an susmentionné.</w:t>
      </w:r>
    </w:p>
    <w:p>
      <w:r>
        <w:rPr>
          <w:b/>
        </w:rPr>
        <w:t>E. 5.1</w:t>
      </w:r>
    </w:p>
    <w:p>
      <w:r>
        <w:t>Les règles de droit national ne peuvent pas être opposées à la reconnaissance pour vérifier, par exemple, le bien-fondé de la mesure ou le respect de la loi de la résidence habituelle. La reconnaissance est</w:t>
      </w:r>
    </w:p>
    <w:p>
      <w:r>
        <w:t>- 26 - garantie par les art. 1, 4 et 7 CLaH80. L'appréciation de l'intérêt du mineur par l'Etat requis ne doit pas se substituer à celle des autorités de l'Etat d'origine. Il ne doit même pas y avoir d'échanges de vues entre autorités (Bucher, op. cit., pp. 131-132 et réf. cit.). La seule réserve est l'ordre public (Bucher, op. cit., p. 132). Lorsqu’un enfant a été déplacé ou retenu illicitement, l’autorité saisie ordonne en principe son retour immédiat (art. 1 let. a, 3 et 12 al. 1 CLaH80), à moins notamment que l’une des exceptions prévues à l’art. 13 CLaH80 ne soit réalisée (TF 5A_617/2022 et 5A_621/2022 précités consid. 5.1.1.1 ; TF 5A_954/2021 précité consid. 5.1.1 ; TF 5A_162/2019 du 24 avril 2019 consid. 4.1 ; TF 5A_717/2016 du 17 novembre 2016 consid. 4 et réf. cit.). Il convient en l’espèce d'examiner si les exceptions au retour sont réalisées.</w:t>
      </w:r>
    </w:p>
    <w:p>
      <w:r>
        <w:rPr>
          <w:b/>
        </w:rPr>
        <w:t>E. 5.1.2</w:t>
      </w:r>
    </w:p>
    <w:p>
      <w:r>
        <w:t>; TF 5A_479/2012 du 13 juillet 2012 consid. 5.1, publié in PJA 2012 p. 1630 et in SJ 2013 I p. 29). Les conditions posées à l'art. 5 LF-EEA n'ont pour objet que de clarifier les dispositions conventionnelles, et non pas de se substituer à elles (TF 5A_637/2013 du 1er octobre 2013 consid. 5.1.2). Le terme « notamment » signifie que ne sont énumérés que quelques cas de figure qui – bien qu'essentiels – n'empêchent pas que l'on se prévale de la clause prévue dans la convention (TF 5A_637/2013 du 1er octobre 2013 consid. 5.1.2- et réf. cit.).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Ainsi, le caractère intolérable du retour doit l’être du point de vue de l’enfant, pas du parent (TF 5A_197/2023 du 25 avril 2023 consid. 4.1.2). Si le placement de l'enfant auprès du parent requérant ne correspond pas à son intérêt (art. 5 let. a LF-EEA), il convient de vérifier s'il n'est pas possible d'imposer au parent ravisseur qu'il raccompagne lui- même l'enfant (art. 5 let. b LF-EEA).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 à défaut, le parent ravisseur pourrait décider librement de l'issue de la procédure de retour (ATF 130 III 535 consid. 2 ; TF 5A_105/2009 du 16 avril 2009 consid. 3.4 et 3.8 in fine, publié in FamPra.ch 2009 p. 791). Un</w:t>
      </w:r>
    </w:p>
    <w:p>
      <w:r>
        <w:t>- 30 -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du 10 novembre 2009 consid. 4, publié in SJ 2010 I p. 151).</w:t>
      </w:r>
    </w:p>
    <w:p>
      <w:r>
        <w:rPr>
          <w:b/>
        </w:rPr>
        <w:t>E. 5.2.1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p. 16; TF 5A_1003/2015 du 14 janvier 2016 consid. 5.1.3 ; TF 5A_479/2012 du 13 juillet 2012 consid. 5.1, publié in PJA 2012 p. 1630 et in SJ 2013 I p. 29 ; TF 5A_285/2007 du 16 août 2007 consid. 4.1, publié in PJA 2007 p. 1585). Dans le contexte du rapatriement d'un enfant déplacé illicitement, aucune décision concernant le droit de garde ne doit être prise par l'État requis et il n'y a pas lieu de procéder à un examen approfondi de la situation complète pour rendre une décision sur le fond de la cause ;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w:t>
      </w:r>
    </w:p>
    <w:p>
      <w:r>
        <w:t>- 27 - circonstances du cas d'espèce (TF 5A_1003/2015 du 14 janvier 2016 consid. 5.1.3 ; TF 5A_584/2014 du 3 septembre 2014 consid. 6.2.3).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w:t>
      </w:r>
    </w:p>
    <w:p>
      <w:r>
        <w:rPr>
          <w:b/>
        </w:rPr>
        <w:t>E. 5.2.2</w:t>
      </w:r>
    </w:p>
    <w:p>
      <w:r>
        <w:t>Dans le cas d’espèce, le demandeur a certes consenti au voyage en Suisse, mais attendait le retour de son fils le 7 novembre 2024 en Suède. Le non-retour n’a pas été consenti par le père de G.________, et la défenderesse n’allègue pas le contraire. On doit également exclure un accord postérieur puisque le demandeur a déposé une demande en retour immédiat de l’enfant en Suède. Il s’ensuit que l’exception de l’art. 13 al. 1 let. a CLaH80 n’est pas satisfaite en l’espèce et ne permet donc pas de faire échec à l’ordre de retour.</w:t>
      </w:r>
    </w:p>
    <w:p>
      <w:r>
        <w:rPr>
          <w:b/>
        </w:rPr>
        <w:t>E. 5.3.1</w:t>
      </w:r>
    </w:p>
    <w:p>
      <w:r>
        <w:t>En vertu de l'art. 13 al. 1 let. b CLaH80, l'autorité judiciaire de l'État requis n'est, par exception, pas tenue d'ordonner le retour de l'enfant lorsque la personne qui s'oppose à son retour établit qu'il existe un risque grave que ce retour n'expose l'enfant à un danger physique ou psychique, ou de toute autre manière ne le place dans une situation intolérable.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(art. 16 et 19 ClaH80 ; TF 5A_799/2013 du 2 décembre 2013 consid. 5.5 ; TF 5A_637/2013 du 1er octobre 2013 consid. 5.1.2 et réf. cit.). Cette interprétation a été confirmée par la Grande Chambre de la Cour européenne des droits de</w:t>
      </w:r>
    </w:p>
    <w:p>
      <w:r>
        <w:t>- 28 - l'Homme dans son arrêt du 26 novembre 2013 dans l'affaire X. contre Lettonie (n° 27853/09). Dans ce jugement, la Grande Chambre a reconnu que, contrairement à ce qui avait été retenu dans son arrêt Neulinger contre Suisse (n° 41615/07),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Dans l'arrêt précité du 26 novembre 2013 X. contre Lettonie, la Grande Chambre a donc retenu que, « dans le cadre de l'examen de la demande de retour de l'enfant, les juges doivent non seulement examiner des allégations défendables de "risque grave" pour l'enfant en cas de retour, mais également se prononcer à ce sujet par une décision spécialement motivée au vu des circonstances de l'espèce » (arrêt n° 27853/09 § 107 p. 30). Lorsque le retour de l'enfant est envisagé, le tribunal doit en outre veiller à ce que le bien-être de celui-ci soit protégé (TF 5A_799/2013 du 2 décembre 2013 consid. 5.5). Il résulte de ce qui précède que seuls des risques graves de mise en danger de l'enfant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 ATF 133 III 146 consid. 2.4 ; ATF 131 III 334 consid. 5.3; TF 5A_799/2013 du 2 décembre 2013 consid. 5.5 ; TF 5A_637/2013 du 1er octobre 2013 consid. 5.1.2). L'art. 5 LF-EEA précise l'application de l'art. 13 al. 1 let. b CLaH80, en énumérant une série de cas dans lesquels le retour de l'enfant ne peut plus entrer en ligne de compte parce qu'il placerait celui-ci dans une situation manifestement intolérable (TF 5A_637/2013 du 1er octobre</w:t>
      </w:r>
    </w:p>
    <w:p>
      <w:r>
        <w:t>- 29 - 2013 consid. 5.1.2 et réf. cit.). Le retour de l'enfant ne doit pas être ordonné notamment lorsque le placement auprès du parent requérant n'est manifestement pas dans l'intérêt de l'enfant (let. a) ou lorsque le parent ravisseur, compte tenu des circonstances, n'est pas en mesure de prendre soin de l'enfant dans l'État dans lequel l'enfant avait sa résidence habituelle au moment de l'enlèvement ou que l'on ne peut manifestement pas l'exiger de lui (let. b) (TF 5A_637/2013 du 1er octobre 2013 consid.</w:t>
      </w:r>
    </w:p>
    <w:p>
      <w:r>
        <w:rPr>
          <w:b/>
        </w:rPr>
        <w:t>E. 5.3.2</w:t>
      </w:r>
    </w:p>
    <w:p>
      <w:r>
        <w:t>La défenderesse fait valoir que le retour de G.________ le placerait dans une situation intolérable car elle ne serait pas en mesure d’obtenir une prolongation de son propre permis de séjour en Suède pour cause de fonds insuffisants, si bien qu’elle devrait être séparée de son fils. Il incombe à la défenderesse d’établir l’existence d’une telle exception. Elle n’a toutefois pas démontré que l’obtention d’un titre de séjour pour son propre compte était soumise à des conditions financières ni d’ailleurs qu’elle ne les réalisait pas. Elle n’explique pas non plus pourquoi elle n’a pas essayé de mener à son terme une procédure de prolongation, ce qui lui aurait permis de pouvoir produire une décision officielle des autorités suédoises dans la présente cause. Elle a au contraire simplement choisi de ne pas faire les démarches, arguant ensuite – sans le démontrer – que celles-ci auraient été vaines. A l’inverse, il ressort des articles de loi et de l’affidavit produits par le demandeur que l’obtention d’un titre de séjour suédois par la défenderesse n’est pas soumise à une exigence de fonds suffisant si son fils dispose lui-même d’un titre de séjour valable en Suède (ce qui serait le cas par le biais du demandeur). Aussi, on peut raisonnablement en déduire que, même sans fortune ni revenus, la défenderesse aurait pu se prévaloir de son lien avec G.________ pour obtenir une autorisation de séjour. Au demeurant, on peut se questionner sur le caractère opportun de cet argument dans la mesure où la défenderesse a déclaré en</w:t>
      </w:r>
    </w:p>
    <w:p>
      <w:r>
        <w:t>- 31 - audience qu’en cas de retour de G.________ en Suède, elle préférait ne pas le suivre pour le préserver. Aussi, l’obtention d’une autorisation de séjour ne semble pas déterminante. En conséquence, la défenderesse n’a pas établi sur ce point d’exception au retour de G.________.</w:t>
      </w:r>
    </w:p>
    <w:p>
      <w:r>
        <w:rPr>
          <w:b/>
        </w:rPr>
        <w:t>E. 5.3.3</w:t>
      </w:r>
    </w:p>
    <w:p>
      <w:r>
        <w:t>La défenderesse soutient que le retour de G.________ en Suède l’exposerait à un danger physique et psychique car il ne pourrait pas bénéficier des suivis et soins nécessaires et parce qu’il serait soumis au caractère violent de son père. La question des violences alléguées par la défenderesse est délicate. Il ressort du dossier que la défenderesse avait, à tout le moins en 2021 déjà, communiqué ses inquiétudes sur l’impulsivité du demandeur à la médiatrice qu’elle avait contactée pour ses problèmes de couple. A la même période, la défenderesse avait fait part à sa psychologue de ses questionnements sur le « fonctionnement » du demandeur. Elle a également pris contact avec les services sociaux en août 2021 afin de leur communiquer les difficultés qu’elle rencontrait avec le demandeur, qui, selon elle, ne respectait pas son rôle et ses droits de mère de G.________. De même, dans son jugement du 13 janvier 2023, le Tribunal du district d’[...] a relevé que la défenderesse s’était plainte auprès de ses proches d’actes de violence par le demandeur mais a estimé que les témoignages n’étaient pas probants. Aussi, contrairement à ce que soutient le demandeur, la défenderesse avait déjà partagé ses préoccupations par le passé quant à sa relation avec le demandeur. Il est vrai que les propos de la défenderesse en 2021 paraissent moins inquiétants que ceux qu’elle allègue à compter d’octobre 2024. En effet, depuis son arrivée en Suisse, la défenderesse décrit, en détail, les agressions psychiques et physiques – y compris sexuelles – que le demandeur lui aurait fait subir. Il est toutefois impossible à ce stade de déterminer la véracité ni même la vraisemblance des événements relatés par la défenderesse. A tout le moins on peut constater, sur la base de ses déclarations en audience et des observations des spécialistes, qu’elle semble, à ce stade, particulièrement atteinte,</w:t>
      </w:r>
    </w:p>
    <w:p>
      <w:r>
        <w:t>- 32 - voire traumatisée, par les années qu’elle a passées auprès du demandeur ou à proximité de celui-ci. Cela étant, comme exposé ci-dessus (cf. consid. 5.3.1 supra), seul importe le caractère tolérable du retour pour l’enfant. Or, rien n’indique que G.________ serait en danger auprès de son père. En 2021, la demanderesse faisait valoir principalement des problèmes de communication entre les parties et des divergences sur la prise en charge de l’enfant. Les éléments invoqués en particulier dans son courriel du 3 novembre 2021 avec les services sociaux suédois ne sont pas caractéristiques de violences physiques ou psychiques sur l’enfant (inquiétudes sur l’heure du coucher, sur les vêtements portés par temps froid, ou encore sur la « sur-stimulation » de l’enfant). La défenderesse a récemment déclaré s’inquiéter d’éventuels actes commis par le demandeur sur son fils, mais ses allégations ne sont appuyées par aucun élément au dossier et sont postérieures au déplacement illicite de l’enfant, ce qui interpelle. Au contraire, il ressort des décisions rendues par les juges suédois que les deux parents disposent des capacités parentales nécessaires pour s’occuper de leur fils. Le jugement du 13 janvier 2024 relève même qu’il n’a pas été allégué que l’enfant aurait été victime de violences de la part de ses parents et qu’il n’y a pas lieu de penser qu’un tel risque existe. Les juges suédois ont confirmé ce qui précède dans leur décision provisoire du 17 janvier 2025, rendue ensuite d’une audience du</w:t>
      </w:r>
    </w:p>
    <w:p>
      <w:r>
        <w:rPr>
          <w:b/>
        </w:rPr>
        <w:t>E. 10</w:t>
      </w:r>
    </w:p>
    <w:p>
      <w:r>
        <w:t>janvier 2025 à laquelle la défenderesse a été entendue par visio- conférence. De même, la décision provisoire du 7 octobre 2024 relève que la défenderesse s’est opposée à une enquête sur la question de la garde au motif qu’aucun des parents ne remettait en question les capacités parentales de l’autre. Or, il est certain qu’en cas de violences sur G.________, la défenderesse aurait accueilli favorablement la proposition d’une enquête des capacités parentales des parties par les autorités. Par ailleurs, lorsqu’il vivait en Suède, G.________ côtoyait l’école maternelle, participait aux activités d’un club de hockey et était régulièrement suivi par des professionnels de la santé. On peut raisonnablement penser que ces intervenants auraient alerté les services compétents en cas de soupçons de maltraitance. D’ailleurs, la Dre [...] est revenue sur son</w:t>
      </w:r>
    </w:p>
    <w:p>
      <w:r>
        <w:t>- 33 - positionnement du début de la procédure et a déclaré estimer désormais que, moyennant une garantie de suivi en Suède et des contacts réguliers avec la mère, un retour en Suède pouvait être envisagé, et qu’elle ne constatait l’existence d’aucun danger imminent pour G.________. Dès lors, sur la base de ce qui précède, à savoir qu’aucun élément n’appuie la thèse de violences par le demandeur sur son fils et que la question a été examinée et tranchée par les tribunaux suédois, on ne peut pas considérer que G.________ serait en danger auprès de son père. Certes, l’enfant a déclaré qu’il ne souhaitait pas revoir son père. Il faut toutefois tenir compte du fait qu’en l’espace de quelques semaines, le milieu de vie et les habitudes de G.________ ont été complètement chamboulés puisqu’il a dû quitter son lieu de domicile et son entourage habituels. Le Dr Blanc a d’ailleurs relevé une « perte de repère » chez l’enfant. A ce changement drastique d’environnement s’ajoutent les différentes consultations de G.________ auprès de très nombreux professionnels (DGEJ, pédopsychiatre, intervenants de Malley Prairie, curatrice, médecins,…) et le fait qu’il s’est alors retrouvé en l’unique compagnie de sa mère, seule personne de confiance en Suisse, qui plus est logé dans un foyer et alors que celle-ci est dans une grande souffrance. Les professionnels ont d’ailleurs remarqué que la séparation de l’enfant d’avec sa mère était « très compliquée, voire impossible ». Aussi, les propos de l’enfant doivent être appréciés à la lumière de ces éléments et ne semblent pas être le signe d’un danger ressenti par l’enfant à l’égard de son père. Pour le surplus, l’enfant étant seulement âgé de 5 ans et au vu de ce qui précède, ses déclarations ne sauraient constituer une opposition qualifiée à son retour au sens de l’art. 13 al. 2 CLaH80. En effet, la jurisprudence en la matière, fondée sur la littérature spécialisée en psychologie infantile, retient qu'en principe un degré de maturité et de compréhension nécessaire dans ce contexte est atteint vers l'âge de douze ans (ATF 133 III 146 consid. 2.4 ; TF 5A_439/2019 du 2 juillet consid. 4.5 ; TF 5A_605/2019 précité consid. 3.2 ; sur le tout TF 5A_990/2019 du 21 janvier 2020 consid. 6.1).</w:t>
      </w:r>
    </w:p>
    <w:p>
      <w:r>
        <w:t>- 34 - Cela étant, les différents professionnels en Suisse ont tous constaté l’état alarmant de G.________ qui se montre stressé, provocateur, agressif et parfois violent. Il peut parfois frapper les adultes ou ses pairs et, à une occasion, aurait dit vouloir se jeter par la fenêtre. Il a également subi un épisode de forte crise ayant nécessité une consultation médicale en urgence le 31 décembre 2024. Il est indéniable que l’enfant est en grande souffrance et fortement impacté psychologiquement et qu’il a besoin d’un accompagnement. La défenderesse n’établit pas que le retour de G.________ en Suède l’empêcherait de bénéficier du suivi et des soins nécessaires. On voit mal que la Suède n’offre aucune prise en charge adaptée. Au contraire, il est établi que, lorsqu’il vivait en Suède, l’enfant bénéficiait d’un suivi médical régulier. Le demandeur a en outre déclaré en audience avoir eu des contacts avec une pédopsychiatre en Suède qui allait lui conseiller un thérapeute chez qui il pourrait emmener son fils en cas de retour. Le demandeur a en outre produit des documents attestant des mesures de protection organisées dans le pays. Enfin, un suivi de la situation de l’enfant est également assuré du fait qu’une audience devant le Tribunal de district d’[...] est d’ores et déjà prévue pour mars 2025. Dans cette optique, en vertu de ses compétences pour toute situation internationale relevant de la protection des mineurs (art. 6a al. 1 let. a in fine LProMin), la DGEJ devra prendre contact avec ses homologues suédois afin d’assurer la gestion du suivi de G.________ en Suède et le respect par le demandeur de ses engagements pris aux conclusions complémentaires I à III telles que formées à l’audience du 20 janvier 2025. Compte tenu de ce qui précède, le retour de G.________ auprès du demandeur ne le placerait pas dans une situation intolérable. Par ailleurs, G.________ n’est pas un nourrisson mais est âgé de 5 ans et, conformément au système de garde qui était prévu et suivi par les parents en Suède – par moitié, sous réserve de quatre nuits par mois de plus chez la mère –, la mère n’est pas sa seule figure d’attachement. Aussi, l’éventuel refus de la défenderesse de suivre l’enfant en Suède si le retour de celui-ci est ordonné ne constitue pas une exception au sens de</w:t>
      </w:r>
    </w:p>
    <w:p>
      <w:r>
        <w:t>- 35 - la CLaH80 comme exposé ci-dessus (cf. consid. 5.3.1 supra en particulier ATF 130 III 530 consid. 3 et TF 5A_197/2023 précité, consid. 4.1.3). Ainsi, les exceptions au retour visées par les art. 13 al. 1 let. b et 13 al. 2 CLaH80 ne sont pas réalisées. 6. 6.1 En conclusion, la demande en retour formée par W.________ doit être admise et le retour en Suède de G.________ doit être ordonné. Ordre est ainsi donné à C.________ d’assurer le retour de G.________ en Suède dans un délai au 28 février 2025 ou de le remettre à la DGEJ dans ce même délai, au moment et selon les modalités que cette dernière lui indiquera, sous la menace de la peine d’amende de l’art. 292 CP en cas d’insoumission à une décision de l’autorité. Conformément à l’art. 12 al. 2 LF-EEA, la DGEJ s’efforcera d’obtenir l’exécution volontaire du présent jugement. Les mesures provisionnelles prévues par ordonnance rendue le 19 décembre 2024 par la Juge déléguée de la Chambre de céans et celles convenues entre les parties et ratifiées par la Chambre de céans à l’audience du 20 janvier 2025 demeurent en vigueur jusqu’à l’exécution du retour en Suède, sous réserve du fait que les papiers d’identité de l’enfant sont tenus à disposition de la DGEJ en vue de l’exécution du retour. Pour le surplus, compte tenu de l’issue de la cause, les autres conclusions prises par les parties – dans la mesure où elles sont recevables, étant rappelé à cet égard que la présente procédure n’a pas pour objet de statuer sur des questions matérielles, notamment en ce qui concerne l’attribution du droit de garde (cf. consid. 1.2.3 supra) – sont rejetées. 6.2 Selon l'art. 14 LF-EEA, l'art. 26 CLaH80 est applicable aux frais des procédures judiciaires et des procédures d'exécution menées aux</w:t>
      </w:r>
    </w:p>
    <w:p>
      <w:r>
        <w:t>- 36 - niveaux cantonal et fédéral. Aux termes de l’art. 26 al. 2 CLaH80, les Etats contractants n’imposeront aucuns frais en relation avec les demandes introduites en application de la Convention ; notamment, ils ne peuvent pas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Suède a déclaré qu'elle ne prendrait en charge les frais visés à l'art. 26 al. 2 CLaH80 que dans la mesure où ces frais sont couverts par le système suédois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6.3 6.3.1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6.3.2 Dans sa liste des opérations produite à l’audience du 20 janvier 2025, Me Cléo Buchheim a déclaré avoir consacré 60.92 heures à la cause, temps auquel il convient d’ajouter 1 heure supplémentaire pour l’audience, pour un total de 61.92 heures. Au vu de la cause et du nombre important d’écritures adressées par le demandeur auxquelles la</w:t>
      </w:r>
    </w:p>
    <w:p>
      <w:r>
        <w:t>- 37 - défenderesse a dû répondre et des nombreuses pièces produites par le demandeur qui ont nécessité un examen, ce temps peut être admis. Il s’ensuit que l’indemnité de Me Buchheim doit être fixée à 11'145 fr. 60, montant auquel il convient d’ajouter des débours par 557 fr. 30 (5% x 11'145 fr. [art. 3bis al. 1 RAJ]), des frais de vacations par 120 fr. ainsi qu’une TVA à 8.1% sur l’ensemble, soit 957 fr. 70 (8.1% x 11'822 fr. 90), pour un total de 12'780 fr. 50, arrondi à 12'781 francs. Cette indemnité est provisoirement laissée à la charge de l’Etat. 6.4 6.4.1 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réf. cit.). 6.4.2 En sa qualité de curatrice de représentation des enfants, Me Cyrielle Kern doit être rémunérée pour les opérations et débours de son intervention dans la présente procédure. Dans sa liste des opérations et débours du 20 janvier 2025, l’avocate a indiqué avoir consacré 35 heures à la présente affaire, temps auquel il convient d’ajouter 2 heures supplémentaires pour l’audience, pour un total de 37 heures. Vu la nature du litige et les difficultés de la cause et pour les motifs invoqués ci-dessus, cette durée peut être admise. Il s’ensuit qu’au tarif horaire de 180 fr. pour l’avocat breveté, l’indemnité de Me Cyrielle Kern doit être fixée à 6'660 fr., montant auquel</w:t>
      </w:r>
    </w:p>
    <w:p>
      <w:r>
        <w:t>- 38 - il convient d’ajouter des débours par 333 fr. (5% x 6'660 fr.), des frais de vacations par 240 fr., ainsi qu’une TVA à 8.1% sur le tout, soit 585 fr. 90 (8.1% x 7'233 fr), pour un total de 7'818 fr. 90, montant arrondi à 7'819 francs. Cette indemnité est incluse dans les frais judiciaires. 6.5 Les frais judiciaires, arrêtés à 9'119 fr., soit 900 fr. pour la décision au fond (art. 56 TFJC [tarif des frais judiciaires civils du 28 septembre 2010 ; BLV 270.11.5]), 400 fr. pour la décision de mesures provisionnelles (art. 61 al. 1 TFJC), ainsi que 7'819 fr. de frais de représentation de G.________, devraient être mis à la charge de la défenderesse qui succombe (art. 106 al. 1 CPC). Ce montant est toutefois laissé à la charge de l’Etat compte tenu des circonstances de la procédure et de la situation de la défenderesse (art. 107 al. 1 CPC). 6.6 Le demandeur, qui obtient gain de cause et qui a procédé par l'intermédiaire d'un mandataire professionnel, a droit à des dépens destinés à couvrir les honoraires et les débours de son conseil, qu'il convient d'arrêter à 6'400 fr. (art. 3 al. 4, 9 al. 1 et 19 TDC [tarif des dépens en matière civile du 23 novembre 2010 ; BLV 270.11.6]). Ce montant est inférieur à celui octroyé à la défenderesse au motif que celle- ci a dû répondre à de nombreuses écritures du demandeur, parfois inutilement qualifiées d’urgentes. Le conseil du demandeur a par ailleurs envoyé plusieurs courriers pour simplement annoncer qu’un prochain courrier serait déposé et a adressé des bordereaux de plusieurs centaines de pages. Ce total sera mis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La défenderesse versera directement les dépens au conseil d’office du demandeur (TF 4A_106/2021 du 8 août 2022 consid. 3.4).</w:t>
      </w:r>
    </w:p>
    <w:p>
      <w:r>
        <w:t>- 39 - 6.7 Dès lors que la Suède a émis une réserve, la Chambre de céans peut déroger à la gratuité prévue par la CLaH80 et demander le remboursement de l'assistance judiciaire octroyée à la défenderesse pour le versement des honoraires de son conseil (TF 5A_301/2019 du 25 juin 2019 consid. 7.2). Toutefois, compte tenu de la situation de la défenderesse et de l’issue de la présente cause, l’indemnité de son conseil d’office sera définitivement laissée à la charge de l’Etat. Par ces motifs, la Chambre des curatelles du Tribunal cantonal, statuant à huis clos, prononce : I. La demande en retour de l’enfant G.________, né le [...] 2019, déposée le 2 décembre 2024 par W.________ est admise. II. Le retour en Suède de G.________, né le [...] 2019, est ordonné. III. Ordre est donné à la défenderesse C.________, sous la menace de la peine d’amende de l’art. 292 CP, d’assurer le retour de l’enfant G.________, né le [...] 2019 d’ici au 28 février 2025 au plus tard ; à défaut, ordre est donné à la Direction générale de l’enfance et de la jeunesse de se charger du rapatriement du mineur G.________ en Suède. IV. La Direction générale de l’enfance et de la jeunesse est chargée de l’exécution des chiffres II et III ci-dessus, le cas échéant avec le concours des agents de la force publique, injonction étant d’ores et déjà faite à ceux-ci de concourir à l’exécution forcée s’ils en sont requis par la Direction générale de l’enfance et de la jeunesse. V. Les mesures provisionnelles prévues par ordonnance rendue le 19 décembre 2024 par la Juge déléguée de la Chambre de</w:t>
      </w:r>
    </w:p>
    <w:p>
      <w:r>
        <w:t>- 40 - céans et celles ratifiées par la Chambre de céans à l’audience du 20 janvier 2025 demeurent en vigueur jusqu’à l’exécution du retour en Suède. VI. L'indemnité de Me Cyrielle Kern, curatrice de représentation de G.________, est fixée à 7'819 fr. (sept mille huit cent dix-neuf francs), débours, vacation et TVA compris. VII. L'indemnité de Me Cléo Buchheim, conseil d’office de la défenderesse C.________, est fixée à 12'781 fr. (douze mille sept cent huitante et un francs), débours, vacation et TVA compris, et définitivement laissée à la charge de l’Etat. VIII. Les frais judiciaires, arrêtés à 9'119 fr. (neuf mille cent dix-neuf francs), qui comprennent les frais de représentation des enfants par 7'819 fr. (sept mille huit cent dix-neuf francs), sont définitivement laissés à la charge de l’Etat. IX. La défenderesse C.________ doit verser au conseil d’office du demandeur W.________ la somme de 6'400 fr. (six mille quatre cents francs) à titre de dépens. X. Toutes autres ou plus amples conclusions, dans la mesure où elles sont recevables, sont rejetées. XI. Le jugement est exécutoire. La présidente : Le greffier : Du</w:t>
      </w:r>
    </w:p>
    <w:p>
      <w:r>
        <w:t>- 41 - Le jugement qui précède, dont la rédaction a été approuvée à huis clos, est notifié à : - Me Marie Berger et Me Mariam Wetterwald (pour W.________), - Me Cléo Buchheim (pour C.________), - Me Cyrielle Kern, curatrice de l’enfant G.________, et communiqué à : - DGEJ, Cellule CLaH, à l’att. de M. Z.________, - Office fédéral de la justice,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