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ME19.005334 vom 26. März 2019</w:t>
      </w:r>
    </w:p>
    <w:p>
      <w:r>
        <w:t>VD Tribunal cantonal, 2019-03-26, FR</w:t>
      </w:r>
    </w:p>
    <w:p>
      <w:r>
        <w:rPr>
          <w:b/>
        </w:rPr>
        <w:t xml:space="preserve">Quelle: </w:t>
      </w:r>
      <w:r>
        <w:t>https://mcp.opencaselaw.ch/entscheid/vd_gerichte_ME19.005334</w:t>
      </w:r>
    </w:p>
    <w:p>
      <w:r>
        <w:t>FR: VD_GERICHTE ME19.005334 du 26 mars 2019</w:t>
      </w:r>
    </w:p>
    <w:p>
      <w:r>
        <w:t>IT: VD_GERICHTE ME19.005334 del 26 marzo 2019</w:t>
      </w:r>
    </w:p>
    <w:p>
      <w:pPr>
        <w:pStyle w:val="Heading2"/>
      </w:pPr>
      <w:r>
        <w:t>Erwägungen</w:t>
      </w:r>
    </w:p>
    <w:p>
      <w:r>
        <w:rPr>
          <w:b/>
        </w:rPr>
        <w:t>E. 4</w:t>
      </w:r>
    </w:p>
    <w:p>
      <w:r>
        <w:t>En conclusion, la requête en retour des enfants T.H.________ et B.H.________ déposée le 4 février 2019 par Q.________ doit être rejetée. Les mesures de protection prononcées le 7 février 2019, savoir le dépôt au greffe de la Chambre des curatelles, par E.________, de ses documents d’identité et de ceux de T.H.________ et B.H.________ ainsi que l’interdiction de quitter le territoire suisse sous la menace de l’art. 292 CP, sont levées dès l’entrée en force du jugement. Toutes autres ou plus amples conclusions sont rejetées dans la mesure où elles sont recevables.</w:t>
      </w:r>
    </w:p>
    <w:p>
      <w:r>
        <w:rPr>
          <w:b/>
        </w:rPr>
        <w:t>E. 5</w:t>
      </w:r>
    </w:p>
    <w:p>
      <w:r>
        <w:t>5.1.1 Selon la jurisprudence, l’art. 26 al. 2 CLaH 80, qui s’applique aux frais de la procédure de conciliation et de la médiation et à ceux des procédures judiciaires et des procédure d’exécution menées aux niveaux cantonal et fédéral (art. 14 LF-EEA), si la requête tendant au retour est rejetée, le requérant ne peut pas être condamné à payer les frais de procédure de la partie adverse à moins que l’Etat dont il est ressortissant (par quoi il faut entendre l’Etat dans lequel le retour doit s’effectuer) ait fait une réserve au sens de l’art. 26 al. 3 CLaH 80 (TF 5A_715/2012 du 3 septembre 2012 consid. 4.2.1 ; TF 5A_119/2011 du 29 mars 2011 consid. 8.3). L’Australie n’a fait aucune réserve de sorte qu’il ne saurait être exigé de la partie succombante, en l’occurrence le requérant, des frais judiciaires ni de mettre à sa charge des dépens. Quant à l’intimée, qui n’est pas reconnue « parent ravisseur », elle ne saurait être chargée des frais judiciaires, ni de dépens en faveur du requérant.</w:t>
      </w:r>
    </w:p>
    <w:p>
      <w:r>
        <w:t>- 26 - 5.1.2 Le présent arrêt est ainsi rendu sans frais, ni dépens.</w:t>
      </w:r>
    </w:p>
    <w:p>
      <w:r>
        <w:rPr>
          <w:b/>
        </w:rPr>
        <w:t>E. 5.2.1</w:t>
      </w:r>
    </w:p>
    <w:p>
      <w:r>
        <w:t>Le requérant Q.________ a obtenu l’assistance judiciaire pour la procédure et il y a donc lieu d’allouer une indemnité d’office à son conseil.</w:t>
      </w:r>
    </w:p>
    <w:p>
      <w:r>
        <w:rPr>
          <w:b/>
        </w:rPr>
        <w:t>E. 5.2.2</w:t>
      </w:r>
    </w:p>
    <w:p>
      <w:r>
        <w:t>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(Code de procédure civile du 19 décembre 2008 ; RS 272), à prévoir une pleine indemnisation, mais seulement une indemnisation équitable (TF 5A_157/2015 du 12 novembre 2015 consid. 3.1, RSPC 2016 p. 121 ; TF 5D_213/2015 du 8 mars 2016 consid. 7.1.1). Il incombe en premier lieu aux autorités cantonales d’apprécier le caractère raisonnable des démarches du défenseur d’office. Elles disposent d’un large pouvoir d’appréciation pour fixer les honoraires (ATF 141 I 124 consid. 3.2).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Ia 107 consid. 10.1). En matière civile, le défenseur d’office peut être amené à accomplir dans le cadre du procès des démarches qui ne sont pas déployées devant les tribunaux,</w:t>
      </w:r>
    </w:p>
    <w:p>
      <w:r>
        <w:t>- 27 - telles que recueillir des déterminations de son client ou de la partie adverse ou encore rechercher une transaction. De telles opérations doivent également être prises en compte (ATF 122 I 1 consid. 3 précité ; ATF 117 Ia 22 consid. 4c et les références citées). Dans le canton de Vaud, l’art. 2 al. 1 RAJ (règlement sur l’assistance judiciaire en matière civile ; BLV 211.02.3) – qui renvoie à l’art. 122 al. 3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S'agissant des débours, ceux-ci doivent s’inscrire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Toute autre solution que le remboursement total des débours effectifs occasionnés par l'accomplissement raisonnable de la mission de l'avocat d'office serait manifestement insoutenable, si elle mène à un résultat qui l'est aussi. Tel est le cas si l'activité de l'avocat mérite une rémunération excédant la différence entre les débours qui doivent être remboursés intégralement et le montant total alloué (TF 5A_4/2018 du 17 avril 2018 consid. 3.2.2.3 et les références citées ; TF 6B_304/2018 du 5 octobre 2018 ; TF 6B_310/2018 du 5 octobre 2018 consid. 1.3).</w:t>
      </w:r>
    </w:p>
    <w:p>
      <w:r>
        <w:rPr>
          <w:b/>
        </w:rPr>
        <w:t>E. 5.2.3</w:t>
      </w:r>
    </w:p>
    <w:p>
      <w:r>
        <w:t>Dans la liste de ses opérations du 13 mars 2019, Me Sophie Beroud a indiqué avoir consacré 34 heures et 12 minutes à l’exécution de son mandat et annoncé des débours à hauteur de 2'185 fr. 85, frais de traduction compris. Au vu de l’ampleur et de la difficulté de la cause, les honoraires et les débours requis par Me Beroud ne prêtent pas le flanc à la critique et doivent entièrement être indemnisés, si bien que l’indemnité de cette dernière peut être arrêtée à 6’630 fr. d’honoraires ([34,2 heures *</w:t>
      </w:r>
    </w:p>
    <w:p>
      <w:r>
        <w:t>- 28 - 180 fr.] + 7,7% de TVA), montant auquel il faut ajouter 755 fr. 60 de débours (699 fr. 60 + 7,7 % de TVA) ainsi que 1'486 fr. 25 d’autres débours, à savoir des frais de traduction, ce qui totalise une indemnité de 8'871 fr. 85. On relèvera qu’après instruction, il est apparu que la situation financière de Q.________ lui aurait permis de faire appel à un avocat de choix. Au vu de l’absence de réserve entre la Suisse et l’Australie s’agissant des frais et des dépens ainsi que de la nomination de Me Sophie Beroud en qualité de conseil d’office, il sera renoncé à examiner plus avant cette question. La Cour de céans soulignera néanmoins que, dans la mesure de l’art. 123 CPC, le bénéficiaire de l’assistance judiciaire est tenu au remboursement de l’indemnité de son conseil d’office (art. 26 al. 3 CLaH 80).</w:t>
      </w:r>
    </w:p>
    <w:p>
      <w:r>
        <w:rPr>
          <w:b/>
        </w:rPr>
        <w:t>E. 5.3</w:t>
      </w:r>
    </w:p>
    <w:p>
      <w:r>
        <w:t>Me Thierry de Mestral, en sa qualité de curateur des enfants T.H.________ et B.H.________ a également droit à une indemnité d’office. Dans la liste des opérations du 12 mars 2019, ce dernier a annoncé qu’il avait consacré 18,1 heures au dossier et que ses débours s’élevaient à 356 fr. 50 (deux vacations pour audience, par 120 fr. chacune, compris). Les honoraires et les débours annoncés par le curateur ne paraissent pas excessifs au vu de la difficulté du dossier et peuvent entièrement être indemnisés. Il s’ensuit que l’indemnité d’office de Me Thierry de Mestral est arrêtée à 3'892 fr. 85, soit 3'508 fr. 90 d’honoraires ([18,1 heures*180 fr.] + 7,7 de TVA) et 383 fr. 95 de débours (356 fr. 50 + 7,7 % de TVA). Conformément à la jurisprudence, la TVA est effectivement due sur les honoraires d’un curateur professionnel (CCUR 2 novembre 2018/204).</w:t>
      </w:r>
    </w:p>
    <w:p>
      <w:r>
        <w:t>- 29 - Par ces motifs, la Chambre des curatelles du Tribunal cantonal, statuant à huis clos, prononce : I. La requête en retour de Q.________ est rejetée. II. L’indemnité due à Me Sophie Beroud, conseil d’office du requérant Q.________, est arrêtée à 8'871 fr. 85 (huit mille huit cent septante et un francs et huitante-cinq centimes), débours et TVA compris. III. L’indemnité due à Me Thierry de Mestral, curateur de représentation des enfants T.H.________ et B.H.________, est arrêté à 3'892 fr. 85 (trois mille huit cent nonante-deux francs et huitante-cinq centimes), débours et TVA compris. IV. Le jugement est rendu sans frais judiciaires, ni dépens. V. Dans la mesure de l’art. 123 CPC, le bénéficiaire de l’assistance judiciaire est tenu au remboursement de l’indemnité de son conseil d’office mis à la charge de l’Etat. VI. Les mesures de protection prononcées le 7 février 2019, savoir le dépôt au greffe de la Chambre des curatelles, par E.________, de ses documents d’identité et de ceux de T.H.________ et B.H.________ ainsi que l’interdiction de quitter le territoire suisse sous la menace de la peine d’amende de l’art. 292 CP, sont levées dès l’entrée en force du présent jugement. VII. Toutes autres ou plus amples conclusions sont rejetés dans la mesure où elles sont recevables. VIII. Le jugement est exécutoire.</w:t>
      </w:r>
    </w:p>
    <w:p>
      <w:r>
        <w:t>- 30 - Le président : La greffière : Du Le jugement qui précède, dont la rédaction a été approuvée à huis clos, est notifié à : - Me Sophie Beroud, avocate (pour Q.________), - Me Jacques Barillon, avocat (pour E.________), - Me Thierry de Mestral, curateur des enfants T.H.________ et B.H.________, - SPJ – ClaH, à l’att. de Z.________ et G.________, et communiqué à : - SPJ – Unité d’appui juridique, - OFJ,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