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M124.042149 vom 6. Januar 2025</w:t>
      </w:r>
    </w:p>
    <w:p>
      <w:r>
        <w:t>VD Tribunal cantonal, 2025-01-06, FR</w:t>
      </w:r>
    </w:p>
    <w:p>
      <w:r>
        <w:rPr>
          <w:b/>
        </w:rPr>
        <w:t xml:space="preserve">Quelle: </w:t>
      </w:r>
      <w:r>
        <w:t>https://mcp.opencaselaw.ch/entscheid/vd_gerichte_M124.042149</w:t>
      </w:r>
    </w:p>
    <w:p>
      <w:r>
        <w:t>FR: VD_GERICHTE M124.042149 du 6 janvier 2025</w:t>
      </w:r>
    </w:p>
    <w:p>
      <w:r>
        <w:t>IT: VD_GERICHTE M124.042149 del 6 gennaio 2025</w:t>
      </w:r>
    </w:p>
    <w:p>
      <w:pPr>
        <w:pStyle w:val="Heading2"/>
      </w:pPr>
      <w:r>
        <w:t>Erwägungen</w:t>
      </w:r>
    </w:p>
    <w:p>
      <w:r>
        <w:rPr>
          <w:b/>
        </w:rPr>
        <w:t>E. 4</w:t>
      </w:r>
    </w:p>
    <w:p>
      <w:r>
        <w:t>CHAMBRE DE S CURATELLE S ____________________________________ Arrêt du 6 janvier 2025 ______________________ Composition : Mme CHOLLET, présidente M. Krieger et Mme Rouleau, juges Greffier : Mme Rodondi ***** Art. 450 al. 3 CC ; art. 59 al. 2 let. a CPC La Chambre des curatelles du Tribunal cantonal prend séance pour statuer sur le recours interjeté par A.L.________, à [...], ensuite de la décision rendue le 15 novembre 2024 par la Juge de paix du district de Morges dans la cause concernant l’enfant B.L.________. Délibérant à huis clos, la Chambre voit : 252</w:t>
      </w:r>
    </w:p>
    <w:p>
      <w:r>
        <w:t>- 2 - En fa it et e n droit : 1. Le 19 septembre 2024, E.________, psychologue et psychothérapeute à [...], a signalé à la Justice de paix du district de Morges (ci-après : la justice de paix) et à la Direction générale de l’enfance et de la jeunesse (ci-après : la DGEJ) la situation de l’enfant B.L.________, né le [...] 2010, fils de C.L.________ et de A.L.________. La justice de paix a ouvert une enquête préalable en protection de mineur en faveur de B.L.________. Le 7 novembre 2024, la DGEJ a établi une appréciation du signalement, dans laquelle elle a constaté que les parents avaient pris les mesures nécessaires afin de remédier à la situation et a proposé « la fermeture du dossier », recommandant aux parents d’explorer des espaces thérapeutiques alternatifs dans l’hypothèse où [...] ne parviendrait plus à assister aux séances mises en place auprès de sa psychologue. 2. Par décision du 15 novembre 2024, la Juge de paix du district de Morges (ci-après : la juge de paix) a considéré que la situation décrite par le signalement ne nécessitait pas l’intervention de l’autorité de protection et a clos la procédure, sans frais. 3. Par courrier du 11 décembre 2024 adressé le lendemain au Tribunal cantonal, A.L.________ (ci-après : le recourant) a déposé un « recours appréciation diagnostique 07.11.2024 », déclarant qu’il entendait recourir contre le contenu du rapport de la DGEJ et non contre la décision « de non-ouverture du dossier », afin de mettre en lumière des faits qui étaient sous-estimés depuis la petite enfance de B.L.________ et d’inclure certains points qui n’avaient pas été abordés.</w:t>
      </w:r>
    </w:p>
    <w:p>
      <w:r>
        <w:t>- 3 -</w:t>
      </w:r>
    </w:p>
    <w:p>
      <w:r>
        <w:rPr>
          <w:b/>
        </w:rPr>
        <w:t>E. 4.1.1</w:t>
      </w:r>
    </w:p>
    <w:p>
      <w:r>
        <w:t>Le recours de l'art. 450 CC (Code civil suisse du 10 décembre 1907 ; RS 210) est en principe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(Droese, Basler Kommentar, Zivilgesetzbuch I, Art. 1-456 ZGB, 7e éd., Bâle 2022, ci-après : Basler Kommentar, n. 21 ad art. 450 CC, p. 2932)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4.1.2</w:t>
      </w:r>
    </w:p>
    <w:p>
      <w:r>
        <w:t>En vertu de l’art. 59 CPC (Code de procédure civile du 19 décembre 2008 ; RS 272) (applicable par renvoi des art. 450f CC et 12 al. 1 LVPAE), le tribunal n’entre en matière que sur les demandes et les requêtes qui satisfont aux conditions de recevabilité de l’action (al. 1), notamment lorsque le demandeur ou le requérant a un intérêt digne de protection (al. 2 let. a) et que l’autorité est compétente à raison de la matière et du lieu (al. 2 let. b).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Commentaire romand, Code de procédure civile, 2e éd., Bâle 2019, ci- après : CR-CPC, n. 14 ad art. 60 CPC, p. 214).</w:t>
      </w:r>
    </w:p>
    <w:p>
      <w:r>
        <w:rPr>
          <w:b/>
        </w:rPr>
        <w:t>E. 4.1.3</w:t>
      </w:r>
    </w:p>
    <w:p>
      <w:r>
        <w:t>Un intérêt est requis pour exercer toute voie de droit (Aubry et al. [éd.], Commentaire de la LTF [Loi sur le Tribunal fédéral du 17 juin</w:t>
      </w:r>
    </w:p>
    <w:p>
      <w:r>
        <w:t>- 4 - 2005 ; RS 173.110], 3e éd., Berne 2022, n. 17 ad art. 76 LTF et les références citées, p. 886). Le justiciable qui fait valoir une prétention doit démontrer qu'il a un intérêt digne de protection à voir le juge statuer sur sa demande (art. 59 al. 2 let. a CPC ; Bohnet, CR-CPC, n. 89 ad art. 59 CPC, pp. 196 et 197). L'existence d'un intérêt digne de protection du recourant est ainsi une condition de recevabilité de tout recours et doit être constatée d’office (art. 60 CPC ; Bohnet, CR-CPC, n. 92 ad art. 59 CPC, p. 198). Pour que l'intérêt au recours soit admis, il suffit que le recourant apparaisse atteint dans un droit qui lui appartient (TF 5A_643/2017 du 3 mai 2018 consid. 1.2, non publié à l'ATF 144 III 277). Le recourant n’a en outre d’intérêt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w:t>
      </w:r>
    </w:p>
    <w:p>
      <w:r>
        <w:rPr>
          <w:b/>
        </w:rPr>
        <w:t>E. 4.1.4</w:t>
      </w:r>
    </w:p>
    <w:p>
      <w:r>
        <w:t>Sous peine d'irrecevabilité, le recours doit être dûment motivé et interjeté par écrit (art. 450 al. 3 CC), les exigences de motivation ne devant cependant pas être trop élevées (TF 5A_922/2015 du 4 février 2016 consid. 5.1 ; Droese, Basler Kommentar,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CR-CPC, n. 3 ad art. 311 CPC, p. 1251). Le recours doit en outre contenir des conclusions au fond pour permettre, le cas échéant, à l'autorité supérieure de statuer à nouveau, ce principe valant également lorsque la procédure est gouvernée par la maxime d’office (Jeandin, CR-CPC, n. 4 ad art. 311 CPC, p. 1511 ; CCUR 16 novembre 2022/195 consid. 3.1.3). S’agissant des exigences procédurales requises, si l’autorité de seconde instance peut impartir un délai au recourant pour rectifier certains vices de forme (art. 132 CPC), à l’instar de l’absence de signature, elle ne peut en revanche le faire lorsqu’elle constate un défaut de</w:t>
      </w:r>
    </w:p>
    <w:p>
      <w:r>
        <w:t>- 5 -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TF 5A_206/2016 du 1er juin 2016 consid. 4.2.2 ; CCUR 30 mai 2023/96 et les références citées).</w:t>
      </w:r>
    </w:p>
    <w:p>
      <w:r>
        <w:rPr>
          <w:b/>
        </w:rPr>
        <w:t>E. 4.2</w:t>
      </w:r>
    </w:p>
    <w:p>
      <w:r>
        <w:t>En l’espèce, le recourant ne conteste pas la décision de la juge de paix du 15 novembre 2024 de clore la procédure, mais s’en prend au contenu de l’appréciation du signalement de la DGEJ du 7 novembre 2024 sur laquelle s’est fondée la juge. Or, l’appréciation de la DGEJ ne constitue pas une décision susceptible de recours. Le recours est par conséquent irrecevable faute de viser une décision contestable. Par ailleurs, le recourant ne fait valoir aucune critique à l’encontre de la décision de la juge de paix et ne prend aucune conclusion tendant à sa modification. Son recours est ainsi irrecevable pour défaut de motivation et de conclusions.</w:t>
      </w:r>
    </w:p>
    <w:p>
      <w:r>
        <w:rPr>
          <w:b/>
        </w:rPr>
        <w:t>E. 5</w:t>
      </w:r>
    </w:p>
    <w:p>
      <w:r>
        <w:t>En conclusion, le recours de A.L.________ doit être déclaré irrecevable. Le présent arrêt peut être rendu sans frais judiciaires (art. 11 TFJC [Tarif du 28 septembre 2010 des frais judiciaires civils ; BLV 270.11.5]).</w:t>
      </w:r>
    </w:p>
    <w:p>
      <w:r>
        <w:t>- 6 -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A.L.________, - Mme E.________, - Mme C.L.________, - Direction générale de l’enfance et de la jeunesse, ORPM de l’Ouest vaudois, et communiqué à : - Mme la Juge de paix du district de Morges, - Direction générale de l’enfance et de la jeunesse, Unité d’appui juridique,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