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LZ24.041601 vom 19. November 2025</w:t>
      </w:r>
    </w:p>
    <w:p>
      <w:r>
        <w:t>VD Tribunal cantonal, 2025-11-19, FR</w:t>
      </w:r>
    </w:p>
    <w:p>
      <w:r>
        <w:rPr>
          <w:b/>
        </w:rPr>
        <w:t xml:space="preserve">Quelle: </w:t>
      </w:r>
      <w:r>
        <w:t>https://mcp.opencaselaw.ch/entscheid/vd_gerichte_LZ24.041601</w:t>
      </w:r>
    </w:p>
    <w:p>
      <w:r>
        <w:t>FR: VD_GERICHTE LZ24.041601 du 19 novembre 2025</w:t>
      </w:r>
    </w:p>
    <w:p>
      <w:r>
        <w:t>IT: VD_GERICHTE LZ24.041601 del 19 novembre 2025</w:t>
      </w:r>
    </w:p>
    <w:p>
      <w:pPr>
        <w:pStyle w:val="Heading2"/>
      </w:pPr>
      <w:r>
        <w:t>Erwägungen</w:t>
      </w:r>
    </w:p>
    <w:p>
      <w:r>
        <w:rPr>
          <w:b/>
        </w:rPr>
        <w:t>E. 3.1</w:t>
      </w:r>
    </w:p>
    <w:p>
      <w:r>
        <w:t>Le recourant demande à titre préalable la désignation d’un curateur de représentation en faveur de D.G.________ et C.G.________. Citant l’art. 308 al. 2 CC, il déclare que cette mesure est nécessaire « au vu du conflit de loyauté dans lequel sont placés les enfants et vu les déclarations contradictoires de Madame B.G.________ ». Il fait valoir que le curateur pourra « faire la lumière sur les faits qui lui sont reprochés » et « défendre l’intérêt des enfants dans le cadre de la procédure de modification du jugement de divorce et le présent recours ».</w:t>
      </w:r>
    </w:p>
    <w:p>
      <w:r>
        <w:rPr>
          <w:b/>
        </w:rPr>
        <w:t>E. 3.2</w:t>
      </w:r>
    </w:p>
    <w:p>
      <w:r>
        <w:t>Aux termes de l’art. 314a bis CC, l'autorité de protection de l'enfant ordonne, si nécessaire, la représentation de l'enfant et désigne un curateur expérimenté en matière d'assistance et dans le domaine juridique (al. 1). Elle examine si elle doit instituer une curatelle, en particulier lorsque la procédure porte sur le placement de l'enfant (al. 2 ch. 1) ou que les personnes concernées déposent des conclusions différentes relatives à l’attribution de l’autorité parentale ou à des questions importantes concernant les relations personnelles avec l’enfant (al. 2 ch. 2). Le juge doit examiner d'office si l'enfant doit être représenté par un curateur. La désignation d'un curateur n'a néanmoins pas lieu automatiquement et le juge n'est pas tenu de rendre une décision formelle à ce propos ; il s'agit d'une possibilité qui relève du pouvoir d'appréciation du juge (TF 5A_232/2016 du 6 juin 2016 consid. 4 ; TF 5A_459/2015 du 13 août 2015 consid. 5.1).</w:t>
      </w:r>
    </w:p>
    <w:p>
      <w:r>
        <w:t>- 13 -</w:t>
      </w:r>
    </w:p>
    <w:p>
      <w:r>
        <w:rPr>
          <w:b/>
        </w:rPr>
        <w:t>E. 3.3</w:t>
      </w:r>
    </w:p>
    <w:p>
      <w:r>
        <w:t>Il convient de distinguer le curateur de surveillance des relations personnelles (art. 308 al. 2 CC) du curateur de représentation (art. 314a bis CC). En outre, la mission consistant à « faire la lumière sur les faits » ne relève pas des attributions du curateur. Cette tâche incombe plutôt à l’UEMS, mandatée pour l’enquête. En revanche, il appartient bien au curateur de représentation de défendre l'intérêt des enfants dans le cadre des procédures judiciaires. La désignation d’un tel curateur par la Chambre de céans n'est cependant pas nécessaire pour la procédure de modification du jugement de divorce. Par ailleurs, elle est prématurée pour ce qui est de la présente procédure de recours. En effet, la mère ne s'oppose pas à ce que le père entretienne des relations personnelles avec ses enfants, mais demande que ces derniers soient protégés par une surveillance du droit de visite jusqu'au terme de l'enquête. Cette conclusion doit par conséquent être rejetée.</w:t>
      </w:r>
    </w:p>
    <w:p>
      <w:r>
        <w:rPr>
          <w:b/>
        </w:rPr>
        <w:t>E. 4.1</w:t>
      </w:r>
    </w:p>
    <w:p>
      <w:r>
        <w:t>Le recourant demande le rétablissement de son droit de visite usuel. Il invoque une appréciation arbitraire des preuves et des faits. Il reproche au premier juge de ne pas avoir retenu que C.G.________ avait menti en affirmant qu’il l’avait tapée. Il relève que B.G.________ a finalement reconnu que sa fille lui avait dit qu’elle n’avait pas été frappée par son père et que c’était D.G.________ qui l’avait été. Il ajoute que la mère n’a pas été en mesure de décrire les prétendues violences, évoquant une gifle, puis plusieurs gifles et enfin des fessées avec une pantoufle. Il soutient que ces éléments auraient dû amener le juge de paix à douter de la véracité des propos. Le recourant fait valoir qu’en confirmant provisoirement l’exercice de son droit de visite par l’intermédiaire de Point Rencontre, le premier juge a violé l’art. 273 CC et le principe de proportionnalité. Il souligne que depuis le divorce, il a toujours exercé son droit de visite sans</w:t>
      </w:r>
    </w:p>
    <w:p>
      <w:r>
        <w:t>- 14 - problème, qu’il ne veut que le bien de D.G.________ et de C.G.________ et qu’il a toujours œuvré en ce sens. Il conteste avoir frappé ses enfants et constate que les violences qui lui sont reprochées ne sont nullement avérées. A cet égard, il rappelle que la version de sa fille a changé, que la description des violences invoquées a varié et que le discours de la mère a évolué. Il déclare que la fatigue de C.G.________ n’est pas due à l’exercice du droit de visite, mais au TDAH dont elle souffre. Il se prévaut à ce sujet du rapport de l’ergothérapeute de l’enfant du 22 mai 2024. Il observe que les enfants demandent à le voir. Il estime ainsi que le principe de proportionnalité commandait que le juge ordonne une enquête avant de prendre des mesures aussi drastiques. Le recourant prétend qu’il est notoire que la mère ne souhaite pas qu’il voie les enfants et trouve tous les moyens pour l'en empêcher « vu le refus de ratification de la contribution d'entretien qu'elle exige ». Il indique en outre que B.G.________ n’a pas apprécié d’avoir dû annuler un week-end prévu en raison de son opération d’urgence et relève que les accusations de maltraitance ont été formulées après cette annulation. Le recourant affirme que le bien-être de D.G.________ et de C.G.________ exige qu'ils puissent renouer les contacts dans les meilleurs délais et de manière libre.</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w:t>
      </w:r>
    </w:p>
    <w:p>
      <w:r>
        <w:t>- 15 -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4.2.2</w:t>
      </w:r>
    </w:p>
    <w:p>
      <w:r>
        <w:t>Le droit aux relations personnelles n’est pas absolu. Si les relations personnelles compromettent le développement de l'enfant, si les père et mère qui les entretiennent violent leurs obligations, s'ils ne se sont</w:t>
      </w:r>
    </w:p>
    <w:p>
      <w:r>
        <w:t>- 16 -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TF 5A_877/2013 du 10 février 2014 consid. 6.1 ;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w:t>
      </w:r>
    </w:p>
    <w:p>
      <w:r>
        <w:t>- 17 - gardien, le principe de la proportionnalité, mais également le sens et le but des relations personnelles, interdisent la suppression complète de ce droit (ATF 122 III 404 consid. 3c ; TF 5A_177/2022 du 14 septembre 2022 consid. 3.1.1 ; TF 5A_334/2018 du 7 août 2018 consid. 3.1 ; TF 5A_699/2017 du 24 octobre 2017 consid. 5.1 ; TF 5A_184/2017 du 9 juin 2017 consid. 4.1 et les références citées). L'établissement d'un droit de visite surveillé nécessite des indices concrets de mise en danger du bien de l’enfant (ATF122 III 404). Il ne suffit pas que celui-ci risque abstraitement de subir une mauvaise influence pour qu'un droit de visite surveillé soit instauré. Il convient dès lors de faire preuve d’une certaine retenue lors du choix de cette mesure (TF 5A_759/2024 du 20 mars 2024 consid. 4.1.2.1 ; TF 5A_334/2018 du 7 août 2018 consid. 3.1 ; TF 5A_699/2017 du 24 octobre 2017 consid. 5.7 ;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 414). Il constitue en principe une solution provisoire et ne peut donc être ordonné que pour une durée limitée. Il convient toutefois de réserver les cas où il apparaît d'emblée que les visites ne pourront pas, dans un proche avenir, être effectuées sans accompagnement (TF 5A_874/2021 du 13 mai 2022 consid. 4.1.1 ; TF 5A_184/2017 du 9 juin 2017 consid. 4.1 et les références citées).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w:t>
      </w:r>
    </w:p>
    <w:p>
      <w:r>
        <w:t>- 18 - Rencontre ou une autre institution analogue (TF 5A_184/2017 du 9 juin 2017 consid. 4.1). Pour fixer le droit aux relations personnelles, le juge fait usage de son pouvoir d’appréciation (art. 4 CC ; ATF 131 III 209 consid. 3 ; ATF 120 II 229 consid. 4a).</w:t>
      </w:r>
    </w:p>
    <w:p>
      <w:r>
        <w:rPr>
          <w:b/>
        </w:rPr>
        <w:t>E. 4.2.3</w:t>
      </w:r>
    </w:p>
    <w:p>
      <w:r>
        <w:t>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4.3</w:t>
      </w:r>
    </w:p>
    <w:p>
      <w:r>
        <w:t>En l’espèce, la situation des enfants a été signalée le 13 juin 2025 par l’ergothérapeute de C.G.________, qui faisait état d’une fatigue de la mineure au retour des week-ends chez son père, de troubles de la concentration et de signes de stress, ainsi que d’allégations de violence de la part de ce dernier. Par ordonnance de mesures superprovisionnelles du 17 juin 2025, le juge de paix a ainsi restreint provisoirement le droit de visite du recourant au Point Rencontre à raison de deux fois par mois, pour une durée maximale de deux heures, à l’intérieur des locaux exclusivement. Il est possible, comme le soutient A.G.________ dans son</w:t>
      </w:r>
    </w:p>
    <w:p>
      <w:r>
        <w:t>- 19 - recours, que la fatigue de sa fille soit liée au TDAH dont elle souffre. Il n’en demeure pas moins que les faits de violence dénoncés doivent encore être investigués. A cet égard, il y a lieu de relever que le premier juge n'a pas retenu que le père avait été violent. Il a considéré qu'une enquête devait être effectuée et que le droit de visite du recourant devait être provisoirement restreint en application du principe de précaution. Cette appréciation est justifiée. En effet, les déclarations de C.G.________, formulées hors d’un contexte de conflit parental, ne peuvent être ignorées. Le droit de visite surveillé permet de maintenir le lien entre le père et ses enfants, tout en assurant la sécurité de ces derniers, voire simplement en les rassurant. Le recourant prête à la mère des intentions qui ne résultent pas du dossier et qui, de surcroît, sont contradictoires : tantôt il soutient qu’elle lui en veut d'avoir annulé un week-end de visite, tantôt qu’elle cherche à l'empêcher d'exercer son droit aux relations personnelles. B.G.________ n’a pas consulté d’avocat et n'a jamais tenté de faire supprimer le droit de visite du père. Lors de l’audience du 21 mai 2025, elle a du reste indiqué qu’elle souhaitait que A.G.________ prenne les enfants pendant les vacances scolaires afin d’avoir du temps pour elle. En outre, le recourant a lui-même déclaré que sa relation avec la mère n’était pas conflictuelle (audience du 23 juillet 2025). Les parents avaient d’ailleurs trouvé un accord s’agissant notamment du droit de visite et c'est le juge de paix qui a refusé de ratifier la convention modifiant leur jugement de divorce qu’ils lui avaient soumise. Il est certes rassurant que les enfants demandent à voir leur père, ce que la mère reconnaît. Il convient toutefois de replacer cette demande dans son contexte : le droit de visite n'a pas pu s'exercer durant plusieurs mois, d’abord en raison d'une opération du recourant, puis en raison du délai nécessaire à la mise en place du Point Rencontre. De plus, A.G.________ a refusé les visioconférences avec ses enfants proposées par la mère durant cette période.</w:t>
      </w:r>
    </w:p>
    <w:p>
      <w:r>
        <w:t>- 20 - Il résulte de ce qui précède que la restriction provisoire du droit de visite du recourant doit être confirmée en l'état. Elle sera revue à réception du rapport de I'UEMS.</w:t>
      </w:r>
    </w:p>
    <w:p>
      <w:r>
        <w:rPr>
          <w:b/>
        </w:rPr>
        <w:t>E. 5.1</w:t>
      </w:r>
    </w:p>
    <w:p>
      <w:r>
        <w:t>Le recourant conclut à l’instauration d’une curatelle de surveillance des relations personnelles au sens de l’art. 308 al. 2 CC.</w:t>
      </w:r>
    </w:p>
    <w:p>
      <w:r>
        <w:rPr>
          <w:b/>
        </w:rPr>
        <w:t>E. 5.2</w:t>
      </w:r>
    </w:p>
    <w:p>
      <w:r>
        <w:t>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w:t>
      </w:r>
    </w:p>
    <w:p>
      <w:r>
        <w:t>- 21 -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Meier/Stettler, op. cit., n. 1018, pp. 668 et 669, et n. 1730, pp. 1125 et 1126, et les références jurisprudentielles citées ; également TF 5A_415/2020 du 18 mars 2021 consid. 6.3 ; TF 5A_983/2019 du 13 novembre 2020 consid. 9.1 ; TF 5A_819/2016 du 21 février 2017 consid. 8.3.2).</w:t>
      </w:r>
    </w:p>
    <w:p>
      <w:r>
        <w:rPr>
          <w:b/>
        </w:rPr>
        <w:t>E. 5.3</w:t>
      </w:r>
    </w:p>
    <w:p>
      <w:r>
        <w:t>En l'espèce, il n'y a pas véritablement de conflit entre les parents. Lors de l’audience du 23 juillet 2025, le recourant a du reste nié entretenir une relation conflictuelle avec la mère. Par ailleurs, celle-ci ne cherche pas à empêcher l'exercice du droit de visite. Dans son acte de recours, A.G.________ suppose même qu'elle tente de se venger de l'annulation d'une visite à la dernière minute. L’institution d’une curatelle de surveillance des relations personnelles ne se justifie donc pas. Dans un courrier du 9 juillet 2025, B.G.________ indique souhaiter que le père puisse bénéficier d’une aide dans la prise en charge des enfants. Or, une curatelle de surveillance des relations personnelles n’a pas pour objet de remédier aux difficultés de prise en charge que le recourant peut rencontrer durant les week-ends. Cette conclusion doit par conséquent être rejetée.</w:t>
      </w:r>
    </w:p>
    <w:p>
      <w:r>
        <w:rPr>
          <w:b/>
        </w:rPr>
        <w:t>E. 6</w:t>
      </w:r>
    </w:p>
    <w:p>
      <w:r>
        <w:t>Le recourant prend des conclusions relatives aux frais et dépens. Il demande que les frais judiciaires soient partagés par moitié et que les dépens soient compensés. Son acte de recours ne contient toutefois aucune motivation sur ces points. Le recours est dès lors irrecevable dans cette mesure.</w:t>
      </w:r>
    </w:p>
    <w:p>
      <w:r>
        <w:t>- 22 -</w:t>
      </w:r>
    </w:p>
    <w:p>
      <w:r>
        <w:rPr>
          <w:b/>
        </w:rPr>
        <w:t>E. 7</w:t>
      </w:r>
    </w:p>
    <w:p>
      <w:r>
        <w:t>En conclusion, le recours de A.G.________ doit être rejeté dans la mesure de sa recevabilité et l’ordonnance entreprise confirmée. Les frais judiciaires de deuxième instance, arrêtés à 600 fr. (art. 74a al. 1 TFJC [Tarif du 28 septembre 2010 des frais judiciaires civils ; BLV 270.11.5]), sont mis à la charge du recourant, qui succombe (art. 106 al. 1 CPC). Par ces motifs, la Chambre des curatelles du Tribunal cantonal, statuant à huis clos, prononce : I. Le recours est rejeté dans la mesure de sa recevabilité. II. L’ordonnance est confirmée. III. Les frais judiciaires de deuxième instance, arrêtés à 600 fr. (six cents francs), sont mis à la charge du recourant A.G.________. IV. L'arrêt est exécutoire. La présidente : La greffière : Du</w:t>
      </w:r>
    </w:p>
    <w:p>
      <w:r>
        <w:t>- 23 - L'arrêt qui précède, dont la rédaction a été approuvée à huis clos, est notifié à : - Me Daniela Linhares (pour M. A.G.________), - Mme B.G.________, et communiqué à : - M. le Juge de paix du district du Jura-Nord vaudois, - Point Rencontre, Fondation Jeunesse &amp; Familles, - Direction générale de l’enfance et de la Jeunesse, Unité évaluation et missions spécifiques,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