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LY19.019050 vom 15. Juli 2021</w:t>
      </w:r>
    </w:p>
    <w:p>
      <w:r>
        <w:t>VD Tribunal cantonal, 2021-07-15, FR</w:t>
      </w:r>
    </w:p>
    <w:p>
      <w:r>
        <w:rPr>
          <w:b/>
        </w:rPr>
        <w:t xml:space="preserve">Quelle: </w:t>
      </w:r>
      <w:r>
        <w:t>https://mcp.opencaselaw.ch/entscheid/vd_gerichte_LY19.019050</w:t>
      </w:r>
    </w:p>
    <w:p>
      <w:r>
        <w:t>FR: VD_GERICHTE LY19.019050 du 15 juillet 2021</w:t>
      </w:r>
    </w:p>
    <w:p>
      <w:r>
        <w:t>IT: VD_GERICHTE LY19.019050 del 15 luglio 2021</w:t>
      </w:r>
    </w:p>
    <w:p>
      <w:pPr>
        <w:pStyle w:val="Heading2"/>
      </w:pPr>
      <w:r>
        <w:t>Erwägungen</w:t>
      </w:r>
    </w:p>
    <w:p>
      <w:r>
        <w:rPr>
          <w:b/>
        </w:rPr>
        <w:t>E. 5</w:t>
      </w:r>
    </w:p>
    <w:p>
      <w:r>
        <w:t>Mandaté dans le cadre de l’enquête précitée, le Dr D.________, spécialiste en psychiatrie et psychothérapie d'enfants et d'adolescents, a déposé son rapport d'expertise pédopsychiatrique le 25 mai 2020. L’expert a considéré, d’une part, que B.Z.________ restait un enfant à risque dans son développement et que ses parents devaient pouvoir continuer à bénéficier de l’assistance, des conseils et de l’appui d’un curateur au sens de l’art. 308 al. 1 CC. Ce curateur devait pouvoir agir directement avec eux « pour la mise en place de la prise en charge pédopsychiatrique nécessaire, ici, la reprise, au mieux et dans la mesure du possible, deux fois par semaine, de la psychothérapie individuelle de l’enfant, voire, le cas échéant, en l’absence d’amélioration et dans la mesure où des circonstances exceptionnelles le permettraient à nouveau, une prise en charge ambulatoire au [...] pour orientation et traitement ». D’autre part, l’expert a indiqué que A.Z.________ « ne s’inscri[vai]t pas, ne parv[enai]t pas à s’inscrire, de structure, dans cette forme commune de lien social que sont le planning des vacances ou les modalités du droit de visite ». Il proposait « d’abroger » l’injonction faite aux parents de poursuivre le suivi thérapeutique relatif à leur coparentalité auprès d’A.________, de déterminer le droit de visite selon les modalités usuelles, sans le limiter, et « de laisser l’autorité administrative en fixer les termes et les modalités une fois pour toutes ».</w:t>
      </w:r>
    </w:p>
    <w:p>
      <w:r>
        <w:t>- 11 - Par ordonnance de mesures provisionnelles du 6 juin 2020, le juge de paix a indiqué poursuivre l'enquête en limitation de l’autorité parentale des parents, confirmé l'attribution exclusive de la garde au père, dit que le domicile légal de l'enfant était auprès de son père, et dit que A.Z.________ exercerait, à titre provisoire et dès que B.________ aurait déménagé à [...], un droit de visite sur l’enfant, à raison d’un week-end sur deux, du vendredi à 18 h 00 au dimanche soir à 18 h 00, la moitié des vacances scolaires, moyennant préavis donné trois mois à l’avance, ainsi qu’alternativement les jours fériés, à charge pour la mère d’aller chercher l’enfant à la crèche le vendredi et pour le père d’aller le chercher le dimanche soir. Le juge de paix a considéré que la communication entre parents ne s'était pas améliorée, que ce conflit parental majeur pouvait nuire au bon développement de l'enfant et que celui-ci avait besoin de stabilité. Par décision du même jour, la justice de paix a mis fin à l'enquête en limitation de l'autorité parentale, institué une curatelle d'assistance éducative et de surveillance des relations personnelles au sens de l’art. 308 al. 1 et 2 CC, et nommé I.________ en qualité de curatrice. Les parents se sont déterminés sur le rapport d'expertise. Un complément d’expertise a été déposé le 25 juillet 2020 par le Dr D.________ pour répondre aux nombreuses critiques de la mère.</w:t>
      </w:r>
    </w:p>
    <w:p>
      <w:r>
        <w:rPr>
          <w:b/>
        </w:rPr>
        <w:t>E. 5.1</w:t>
      </w:r>
    </w:p>
    <w:p>
      <w:r>
        <w:t>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la mère du mineur concerné, partie à la procédure, le recours est recevable. Il en va de même des pièces produites en deuxième instance, si tant est qu’elles ne figurent pas déjà au dossier.</w:t>
      </w:r>
    </w:p>
    <w:p>
      <w:r>
        <w:t>- 16 - Le recours étant manifestement mal fondé, au vu des considérations qui seront développées ci-après, il a été renoncé à consulter l'autorité de protection et l’intimé n’a pas été invité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 2.2 En l'espèce, les parents ont été entendus par le juge de paix le 26 janvier 2021. Il n’était par ailleurs pas nécessaire d’entendre l’enfant personnellement, qui est très jeune puisqu’il n'a pas encore sept ans</w:t>
      </w:r>
    </w:p>
    <w:p>
      <w:r>
        <w:t>- 17 - révolus. Au demeurant, B.Z.________ a été entendu par la DGEJ, la Dre G.________ et l’expert, ce qui est en l’état suffisant (cf. ATF 133 III 553 consid. 4 ; TF 5A_199/2020 du 28 mai 2020 consid. 3.3.1 et les références citées, résumé in Revue de la protection des mineurs et des adultes [RMA] 5/2020, pp. 386-387). Partant, le droit d'être entendu des parties a été respecté. L'ordonnance entreprise est donc formellement correcte et peut être examinée sur le fond. 3. Se plaignant d'une violation de son droit d'être entendue, en particulier de son droit à la preuve, la recourante conteste le refus d'une contre-expertise pédopsychiatrique, au profit d'un complément d'expertise, et de l'audition de sa psychologue T.________ comme témoin. Elle se prévaut de divers avis qui divergent de ceux qui fondent la décision entreprise, notamment celui de sa psychologue qui a une opinion différente sur la cause des problèmes de l'enfant. Elle soutient que les avis cités par la justice de paix ne sont pas si unanimes que cela. Elle se plaint aussi d'un défaut de motivation de la décision, qui restreindrait son droit de visite en évoquant des « incidents » sans les décrire précisément. 3.1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3.1.1 Le droit d'être entendu comprend le droit pour le particulier de s'expliquer avant qu'une décision ne soit prise à son sujet, de fournir des preuves quant aux faits de nature à influer sur le sort de la décision,</w:t>
      </w:r>
    </w:p>
    <w:p>
      <w:r>
        <w:t>- 18 -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(CCUR 3 mars 2021/56). Le droit de participer à l'administration des preuves, prévu expressément à l'art. 155 al. 3 CPC, applicable par renvoi de l'art. 12 al. 1 LVPAE, est un corollaire du droit d'être entendu. Le droit à la preuve est consacré à l'art. 152 al. 1 CPC qui dispose que toute partie a droit à ce que le tribunal administre les moyens de preuve adéquats proposés régulièrement en temps utile. Il n'existe que s'il s'agit d'établir un fait pertinent, qui n'est pas déjà prouvé par une mesure probatoire adéquate, laquelle a été régulièrement offerte en temps utile selon les règles de la procédure (ATF 135 III 295 consid. 7.1 ; TF 4A_381/2016 du 29 septembre 2016 consid. 3.1.2 ; TF 4A_373/2017 du 20 décembre 2017 consid. 3.1).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w:t>
      </w:r>
    </w:p>
    <w:p>
      <w:r>
        <w:t>- 19 - la preuve n'est pas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p. 620). 3.1.2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66_802/2017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3.1.3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 897/2015 du 1er février 2016 consid. 3.2.2 ; ATF 142 II 218 consid. 2.8.1 ; ATF 136 III 174 consid. 5.1.2). 3.2</w:t>
      </w:r>
    </w:p>
    <w:p>
      <w:r>
        <w:t>- 20 - 3.2.1 L'avis de la psychologue de la recourante, à qui celle-ci a « montré » son fils, ne saurait susciter le doute au sujet de l'avis convergent de l'expert le Dr D.________ et de la pédopsychiatre de l'enfant la Dre G.________. Ceux-ci sont en effet d'accord sur la cause du mal-être de l'enfant. Il est par ailleurs relevé que les passages cités par la recourante, au sujet de ses capacités parentales, sont sortis de leur contexte. La justice de paix pouvait donc se passer d'entendre la psychologue et d'ordonner une contre-expertise. Au demeurant, le complément d'expertise ordonné n'a pas été confié à l'expert précédent mais au SUPEA et le questionnaire n’est pas encore défini, ce qui devrait rassurer la recourante. 3.2.2 Quant à la motivation de la décision, elle devait indiquer les motifs de la restriction du droit de visite, et pas nécessairement le détail d'épisodes ayant motivé les opinions des intervenants de cet épais dossier. Le dernier en date, soit l'instrumentalisation de l'enfant pour une visite chez la psychologue de la mère, épisode qui a causé la suspension du droit de visite, est bien décrit, lui. Partant, la décision litigieuse est suffisamment motivée, étant précisé que même si cette décision souffrait d’une motivation insuffisante, ce vice serait réparé devant la Chambre de céans, qui jouit d’un plein pouvoir d’examen quant aux faits et au droit. Les griefs de la recourante sont ainsi infondés. 4. S’agissant du fond, si la recourante conclut à l'annulation notamment des chiffres II à V du dispositif de la décision entreprise, elle ne demande toutefois ensuite qu'un droit de visite usuel, non médiatisé, sans conclure à l'attribution de la garde. Seule est ainsi litigieuse la question de son droit de visite. Dans ce cadre, elle conteste avoir « forcé » son fils à parler à sa psychologue T.________ : B.Z.________ n'aurait présenté aucune opposition. Elle se prévaut de l'avis de cette psychologue en ce qui concerne les causes du mal-être de l'enfant, lesquelles seraient à rechercher dans une hyperactivité et un haut potentiel et pas dans sa relation à sa mère. Elle relève que l'enfant ne va pas mieux, alors que le</w:t>
      </w:r>
    </w:p>
    <w:p>
      <w:r>
        <w:t>- 21 - temps passé avec elle a été limité, et fait valoir que plusieurs intervenants estiment qu'elle a de bonnes capacités parentales. Elle conteste en outre toutes les critiques qui lui sont faites et se prévaut de l'avis de son médecin traitant et de témoignages écrits. 4.1 4.1.1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w:t>
      </w:r>
    </w:p>
    <w:p>
      <w:r>
        <w:t>- 22 -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w:t>
      </w:r>
    </w:p>
    <w:p>
      <w:r>
        <w:t>- 23 -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w:t>
      </w:r>
    </w:p>
    <w:p>
      <w:r>
        <w:rPr>
          <w:b/>
        </w:rPr>
        <w:t>E. 6</w:t>
      </w:r>
    </w:p>
    <w:p>
      <w:r>
        <w:t>La DGEJ a déposé un rapport le 19 janvier 2021, préconisant le maintien de la garde au père et un droit de visite pour la mère médiatisé par Espace Contact ou Trait d'Union. Elle a relevé que lors d'une réunion de réseau de juin 2020, les conséquences graves du conflit parental sur le développement de l'enfant avaient été relevées : l’agressivité de celui-ci au CVE, qui augmentait après les week-ends passés chez la mère, son inquiétude que ses dires à sa mère puissent être utilisés en justice, son refus de téléphoner à sa mère et son inquiétude concernant ce qu'il allait faire avec sa mère durant les vacances. La DGEJ a indiqué que le conflit de loyauté et le mal-être de l'enfant avaient été remarqués par l'école, le CVE</w:t>
      </w:r>
    </w:p>
    <w:p>
      <w:r>
        <w:t>- 12 - et la pédiatre ; que malgré un changement d'assistante sociale, les désaccords avaient été de véritables enjeux dans le conflit au point de dépasser l'entendement ; que la mère avait une grande difficulté à ne pas dénigrer le père et l'accuser de tous les maux ; que le père se montrait parfois agacé par les demandes de la mère mais s'était toujours montré conciliant, parvenant à se centrer sur les besoins de son fils ; que lors d'un réseau de septembre 2020, il avait été remarqué que l'enfant était de nouveau en crise, agité après les week-ends chez sa mère, recherchant le lien avec sa maîtresse pour se sécuriser ; que la médiation chez A.________ n'était pas opérante, la mère manquant régulièrement les rendez-vous ; que lors d'un réseau en octobre, il avait été réexpliqué à la mère pourquoi ses fragilités psychiques ne permettaient pas de lui attribuer la garde et redemandé à celle-ci de se centrer sur les besoins de l'enfant ; qu'un réseau de décembre 2020 avait constaté que la situation de B.Z.________ se péjorait encore, qu'il était agité et insolent à l'école ; que la Dre G.________, spécialiste en psychiatrie et psychothérapie d’enfants et d’adolescents suivant B.Z.________, avait noté des angoisses de mort chez l'enfant quand il voyait sa mère dormir longtemps et craignait que l'espace thérapeutique soit parasité par le conflit de loyauté, l'enfant étant en colère contre le médecin après une séparation problématique entre mère et fils au cabinet ; que la mère critiquait le père devant l'enfant dans tous les cadres qu'il fréquentait ; qu'elle n'évoluait pas sur sa capacité à protéger son fils face au conflit, se montrait peu collaborante sur les questions de coparentalité ; que la DGEJ se questionnait sur les compétences de A.Z.________ pour prendre en charge l'enfant pendant les week-ends et les vacances ; que selon la Dre J.________, la mère, dont l'état psychique se détériorait, avait besoin d'un étayage ; qu'un droit de visite au travers d'une structure comme Espace contact avait été proposé par cette médecin. Le juge de paix a tenu une audience le 26 janvier 2021. Il a entendu les parents, le Dr D.________, et pour la DGEJ, N.________, assistante sociale. A cette occasion, le Dr D.________ a indiqué que la supervision du droit de visite par un tiers était adaptée ; que l'enfant avait besoin d'un suivi avant qu'on envisage un élargissement dudit droit de</w:t>
      </w:r>
    </w:p>
    <w:p>
      <w:r>
        <w:t>- 13 - visite ; que la mère avait besoin de soins psychiatriques ; que l'enfant ne devait pas endosser le rôle de thérapeute de sa mère. A l'audience, il a été convenu que la DGEJ se renseigne sur la possibilité d'ajouter un droit de visite usuel au droit de visite médiatisé. La DGEJ a déposé un rapport complémentaire le 3 février 2021, précisant qu’il n’était pas possible de mettre en place un droit de visite médiatisé à Espace Contact en parallèle d’un droit de visite s’exerçant à l’extérieur de cette institution. Elle a relevé un nouvel incident lors duquel la mère avait eu un comportement non protecteur avec son fils. Elle avait d'abord dit qu'elle ne pouvait pas aller le chercher à la sortie de l'école en raison d'une douleur physique, puis, lorsqu’on lui avait fait remarquer qu'elle ne pourrait alors pas s'en occuper ensuite durant le week-end, elle avait changé d'avis. Dans l'intervalle, l'enfant avait attendu 45 minutes. Le 4 février 2021, la Dre G.________ a déposé un rapport, relevant que si l'enfant peinait à quitter sa mère après un week-end, c'était parce qu'il était inquiet pour elle. Tous ses comportements oppositionnels résultaient du rôle de sauveur de sa mère qu'il avait investi. Elle a indiqué soutenir totalement la mise en place de visites médiatisées afin de travailler le lien mère-fils et de dégager l’enfant de son vécu psychique d’inquiétude et de loyauté envers sa mère. Les parents se sont déterminés sur ces rapports. Le 31 mars 2021, la DGEJ a demandé que le droit de visite de la mère soit suspendu en urgence jusqu'à ce qu'il puisse s'exercer de façon médiatisée. Elle observait que la mère avait instrumentalisé son fils en lui faisant voir sa psychologue, T.________, sans avertir le père ou la Dre G.________ et dans le but de servir ses intérêts dans la procédure, et qu'après cela l'enfant avait réagi par un comportement oppositionnel et agressif. Elle s'inquiétait que l'enfant en arrive à un point de rupture massivement déstructurant. Elle joignait un courriel du 30 mars 2021 de la Dre G.________ qui signalait l’entretien de l’enfant avec la psychologue de</w:t>
      </w:r>
    </w:p>
    <w:p>
      <w:r>
        <w:t>- 14 - A.Z.________ et indiquait que l'enfant lui avait demandé à être en présence d'un tiers lors des moments partagés avec sa mère. Par ordonnance de mesures superprovisionnelles du 1er avril 2021, le juge de paix a fait droit à cette requête en suspendant le droit de visite de la mère et a fixé un délai aux parents pour se déterminer sur cet élément nouveau. Les parties se sont ensuite déterminées. En d roit : 1. Le recours est dirigé contre une ordonnance de mesures provisionnelles du juge de paix, fixant le droit de visite de la recourante sur son fils en application des art. 273 al. 1 et 274 al. 2 CC.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w:t>
      </w:r>
    </w:p>
    <w:p>
      <w:r>
        <w:t>- 15 -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w:t>
      </w:r>
    </w:p>
    <w:p>
      <w:r>
        <w:rPr>
          <w:b/>
        </w:rPr>
        <w:t>E. 9</w:t>
      </w:r>
    </w:p>
    <w:p>
      <w:r>
        <w:t>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w:t>
      </w:r>
    </w:p>
    <w:p>
      <w:r>
        <w:t>- 24 - surveillé, droit de visite au Point Rencontre – et le principe de proportionnalité n'est respecté que si des mesures moins contraignantes ne suffisent pas pour garantir la protection de l'enfant (TF 1C_219/2007 du 19 octobre 2007 consid. 2, in FamPra.ch 2008 p. 172). 4.1.2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op. cit., n. 3.1.1 ad art. 296 CPC et les références citées, p. 903). 4.2 En l’espèce, il n'est pas reproché à la mère d'avoir forcé physiquement son fils à parler à la psychologue, mais de l'avoir placé dans un conflit de loyauté en instrumentalisant une consultation effectuée sous sa seule maîtrise. En faisant valoir que son fils n’y aurait présenté aucune opposition, la recourante se méprend sur le rôle qu’elle doit tenir face à lui et confirme ainsi l’avis des intervenants selon lequel l’enfant endosse beaucoup trop de responsabilités pour son âge. En effet, même si B.Z.________ avait demandé expressément à voir la psychologue de sa mère, cette dernière aurait dû empêcher une telle rencontre – et surtout ne pas l’initier comme en l’espèce – afin de ne pas mettre son fils en plein conflit de loyauté, qui le fait énormément souffrir à n’en pas douter.</w:t>
      </w:r>
    </w:p>
    <w:p>
      <w:r>
        <w:t>- 25 - Cela étant dit et comme retenu plus haut (cf. consid. 3.2.1 supra), les éléments dont se prévaut la recourante ne sont pas de nature à faire douter de l'opinion unanime des intervenants selon laquelle l’atteinte au développement psychique de l'enfant vient du fait qu'il est très inquiet pour sa mère, qu'il voudrait sauver. Il ressort en effet du dossier que s'il veut rester avec elle, c'est pour ce motif, mais au prix de son insouciance. La recourante, qui conteste cela, ne dit rien du courriel du 30 mars 2021 de la Dre G.________ signalant que l'enfant souhaite la présence d'un tiers lors des moments qu'il passe avec sa mère. Il apparaît que cette dernière est incapable de présenter une image forte et rassurante à son fils. Le fait que la recourante ait, en dehors de ce problème, des capacités parentales, n'est par ailleurs pas contradictoire. S’agissant de l’avis de sa psychologue T.________ dont la recourante se prévaut, il convient de préciser qu’outre le fait qu’elle n’est pas médecin, contrairement au Dr D.________ et à la Dre G.________, elle n’a surtout vu B.Z.________ qu’à une seule reprise et par visioconférence. Le respect par cette psychologue des règles déontologiques de sa profession au regard de son intervention dans une telle situation laisse d’ailleurs songeuse la Chambre de céans. Au demeurant, A.Z.________ n’amène en l’état aucun élément pertinent remettant valablement en question les avis convergents de l’expert, de la Dre G.________ et des intervenants de la DGEJ. En outre, il est précisé que jusqu'au 1er avril 2021, le droit de visite de la mère s'exerçait sans surveillance, au domicile de celle-ci. Il est dès lors trop tôt pour faire un constat de l'efficacité des restrictions ordonnées, qui, en l'état du dossier et au stade des mesures provisionnelles, apparaissent nécessaires pour préserver le bien de l’enfant. Elles sont proportionnées et ainsi bien fondées. Dans un cadre médiatisé, la recourante pourra, avec de l'aide, apparaître comme moins fragile, ce qui devrait rassurer son fils et le soulager du poids qu’il porte la concernant. 5. En conclusion, le recours, manifestement infondé, doit être rejeté.</w:t>
      </w:r>
    </w:p>
    <w:p>
      <w:r>
        <w:t>- 26 - Au vu du sort de la cause, le recours était d’emblée dénué de chances de succès. Une personne raisonnable plaidant à ses propres frais aurait en effet renoncé à recourir. Partant, la requête d’assistance judiciaire de la recourante doit être rejetée (art. 117 let. b CPC). Les frais judiciaires de deuxième instance, arrêtés à 800 fr., soit 600 fr. pour la décision au fond et 200 fr. pour la requête d’effet suspensif (art. 74a al. 1 TFJC [Tarif du 28 septembre 2010 des frais judiciaires civils, BLV 270.11.5]), sont mis à la charge de la recourante, qui succombe (art. 106 al. 1 CPC). Par ces motifs, la Chambre des curatelles du Tribunal cantonal, statuant à huis clos, prononce : I. Le recours est rejeté. II. La décision est confirmée. III. La requête d’assistance judiciaire est rejetée. IV. Les frais judiciaires de deuxième instance, arrêtés à 800 fr. (huit cents francs), sont mis à la charge de la recourante A.Z.________.</w:t>
      </w:r>
    </w:p>
    <w:p>
      <w:r>
        <w:t>- 27 - V. L'arrêt est exécutoire. Le président : Le greffier : Du L'arrêt qui précède, dont la rédaction a été approuvée à huis clos, est notifié à : - Me Donia Rostane (pour A.Z.________), - Me Mathias Burnand (pour B.________), - Direction générale de l’enfance et de la jeunesse, à l’attention de N.________ et I.________, et communiqué à : - Direction générale de l’enfance et de la jeunesse, Unité d’appui juridique,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- 28 -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