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LY16.032113 vom 22. März 2018</w:t>
      </w:r>
    </w:p>
    <w:p>
      <w:r>
        <w:t>VD Tribunal cantonal, 2018-03-22, FR</w:t>
      </w:r>
    </w:p>
    <w:p>
      <w:r>
        <w:rPr>
          <w:b/>
        </w:rPr>
        <w:t xml:space="preserve">Quelle: </w:t>
      </w:r>
      <w:r>
        <w:t>https://mcp.opencaselaw.ch/entscheid/vd_gerichte_LY16.032113</w:t>
      </w:r>
    </w:p>
    <w:p>
      <w:r>
        <w:t>FR: VD_GERICHTE LY16.032113 du 22 mars 2018</w:t>
      </w:r>
    </w:p>
    <w:p>
      <w:r>
        <w:t>IT: VD_GERICHTE LY16.032113 del 22 marzo 2018</w:t>
      </w:r>
    </w:p>
    <w:p>
      <w:pPr>
        <w:pStyle w:val="Heading2"/>
      </w:pPr>
      <w:r>
        <w:t>Erwägungen</w:t>
      </w:r>
    </w:p>
    <w:p>
      <w:r>
        <w:rPr>
          <w:b/>
        </w:rPr>
        <w:t>E. 4.1</w:t>
      </w:r>
    </w:p>
    <w:p>
      <w:r>
        <w:t>Dans un premier moyen, le recourant fait valoir que la justice de paix devait examiner d’office si une garde alternée était envisageable et si tous les critères étaient remplis pour que celle-ci soit instaurée, comme cela était le cas de facto avant la présente procédure. Dans un deuxième moyen qu’il convient d’examiner simultanément, le recourant fait valoir que les premiers juges n’ont pas tenu compte des compétences éducationnelles de chacun des parents alors qu’il s’agit du premier critère à prendre en compte pour conclure à l’attribution de la garde à l’un des parents. En outre, le rapport d’évaluation sociale du SPJ ne ferait que relater le point de vue de la mère en occultant complètement le sien et</w:t>
      </w:r>
    </w:p>
    <w:p>
      <w:r>
        <w:t>- 16 - conclurait au maintien du statu quo, soit à un très large droit de visite en sa faveur, de même que celui de l’OPE. Le recourant soutient également que la vie décousue de l’intimée serait incompatible avec la prise en charge de B.B.________ et que lui-même serait en mesure d’offrir plus de stabilité à sa fille, ce dont elle a besoin.</w:t>
      </w:r>
    </w:p>
    <w:p>
      <w:r>
        <w:rPr>
          <w:b/>
        </w:rPr>
        <w:t>E. 4.2.1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rPr>
          <w:b/>
        </w:rPr>
        <w:t>E. 4.2.2</w:t>
      </w:r>
    </w:p>
    <w:p>
      <w:r>
        <w:t>Les nouvelles dispositions relatives à l'autorité parentale conjointe sont entrées en vigueur le 1er juillet 2014. Selon la terminologie utilisée par le droit en vigueur jusqu'au 30 juin 2014, le « droit de garde »,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w:t>
      </w:r>
    </w:p>
    <w:p>
      <w:r>
        <w:t>- 17 - des devoirs liés aux soins et à l'éducation courante (Meier/Stettler, op. cit., n. 462 p. 308 et n. 466 p. 311 ; Schwenzer/Cottier, Basler Kommentar, op. cit., n. 4 ad art. 298 CC p. 1634 ; de Weck-Immelé, Droit matrimonial, 2016, n. 195 ad art. 176 CC). 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en vertu de l'art. 301a al. 2 CC, un parent titulaire de l'autorité parentale conjointe ne peut modifier le lieu de résidence de l'enfant qu'avec l'accord de l'autre parent ou sur décision du juge ou de l'autorité de protection de l'enfant si le déménagement a des conséquences importantes pour l'exercice de l'autorité parentale par l'autre parent et pour les relations personnelles (let. b). Cette disposition vise à éviter que l'un des parents puisse mettre l'autre parent et l'enfant devant un fait accompli. Elle amènera le juge, en cas de désaccord des parents, à effectuer une pesée des intérêts entre le bien de l'enfant et l'intérêt du parent détenteur de la garde de fait au déménagement. Elle pourrait amener le juge à faire interdiction au parent détenteur de déménager ou à modifier la titularité de la garde, selon ce que le bien de l'enfant commande (TF 5A_985/2014 du 24 juin 2015 consid. 3.2).</w:t>
      </w:r>
    </w:p>
    <w:p>
      <w:r>
        <w:rPr>
          <w:b/>
        </w:rPr>
        <w:t>E. 4.2.3</w:t>
      </w:r>
    </w:p>
    <w:p>
      <w:r>
        <w:t>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(TF 5A_266/2015 du 24 juin 2015 consid. 4.2.2.1 ; TF 5A_46/2015 du 26 mai 2015 consid. 4.4.3). A teneur de l'art. 298b al. 3ter CC, lorsque l'autorité parentale est exercée conjointement, l'autorité de protection de l'enfant examine, selon le bien de l'enfant, la possibilité de la garde alternée, si le père, la mère ou l'enfant le demande. Invité à statuer à cet égard, le juge doit néanmoins examiner, nonobstant et indépendamment l'accord des parents quant à une garde alternée, si</w:t>
      </w:r>
    </w:p>
    <w:p>
      <w:r>
        <w:t>- 18 -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aussi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l'âge de ce dernier et de son appartenance à une fratrie ou à un cercle social (TF 5A_46/2015 du 26 mai 2015 consid. 4.4.2 et 4.4.5 ; TF 5A_345/2014 du 4 août 2014 consid. 4.2). La capacité de collaboration et de communication des parents est d'autant plus importante lorsque l'enfant concerné est déjà scolarisé ou qu'un certain éloignement géographique entre les domiciles respectifs des parents nécessite une plus grande organisation (ATF 142 III 617 consid. 3.2.3).</w:t>
      </w:r>
    </w:p>
    <w:p>
      <w:r>
        <w:rPr>
          <w:b/>
        </w:rPr>
        <w:t>E. 4.2.4</w:t>
      </w:r>
    </w:p>
    <w:p>
      <w:r>
        <w:t>L'art. 273 al. 1 CC prévoit que le père ou la mère qui ne détient pas l'autorité parentale ou la garde ainsi que l'enfant mineur ont</w:t>
      </w:r>
    </w:p>
    <w:p>
      <w:r>
        <w:t>- 19 -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consid. 4a). Ainsi, il est possible de limiter l’exercice du droit de visite, soit par une réduction de la durée ou de la fréquence des visites, soit par la mise en place de modalités particulières (Meier/Stettler, Droit de la filiation, 5e éd. 2014, n. 790ss, p. 521 ss et les références citées).</w:t>
      </w:r>
    </w:p>
    <w:p>
      <w:r>
        <w:rPr>
          <w:b/>
        </w:rPr>
        <w:t>E. 4.3</w:t>
      </w:r>
    </w:p>
    <w:p>
      <w:r>
        <w:t>En l’espèce, rien au dossier n’indique que l’intimée ne disposerait pas des capacités éducatives pour prendre en charge sa fille. Le recourant la décrit comme distante, stricte et percevant B.B.________ comme un trophée. Or il ressort du rapport du SPJ que l’intimée est adéquate avec sa fille, est attentive, dispense les soins dont l’enfant a besoin d’un point de vue médical et s’en occupe de manière tout à fait satisfaisante. B.B.________ se développe bien, est attachée à son lieu de vie ainsi qu’à son école et rien n’indique que la garde devrait être transférée au père et la convention initiale passée entre les parties modifiée dans ce sens. En terme de disponibilité, force est également de constater que la mère est plus présente à la maison et que transférer la garde de B.B.________ au recourant impliquerait une prise en charge compliquée. Même si le recourant peut aménager son temps de travail,</w:t>
      </w:r>
    </w:p>
    <w:p>
      <w:r>
        <w:t>- 20 - B.B.________ serait régulièrement prise en charge avant l’école, à midi et après l’école par des tiers, à savoir sa belle-mère et sa grand-mère paternelle. Il n’y a pas lieu de douter qu’il s’agisse de personnes de référence pour la fillette mais la prise en charge par la mère doit néanmoins être privilégiée. En résumé, à capacité parentale équivalente et la mère disposant d’une plus grande disponibilité, c’est à bon droit que la garde, jusqu’alors confiée à la mère, n’a pas été modifiée, ce d’autant plus que cela permet aussi d’éviter un changement d’école pour l’enfant. En outre, contrairement à ce que soutient le recourant, on ne peut pas retenir que B.B.________ devrait déménager chez lui pour gagner en stabilité parce que la mère risquerait, un jour, de déménager pour rejoindre son compagnon. S’agissant des relations personnelles élargies ou d’une garde alternée, tous les intervenants et parties s’accordent à dire que B.B.________ a besoin d’un environnement stable, sécurisant, avec des repères et des rythmes régularisés. Ainsi, avant la décision de première instance, B.B.________ était amenée à l’école un lundi matin sur deux par son père, sa mère venant la chercher à la sortie des classes pour l’amener sur le parking du magasin Jumbo, à Monthey, à 17 heures, où son père la reprenait. Ensuite, accompagnée le mardi matin à l’école par son père, sa mère la récupérait à midi pour l’après-midi. Le mercredi matin, elle était conduite à l’école par sa mère et sa grand-mère paternelle venait la chercher à la sortie des classes pour passer l’après-midi avec elle. L’enfant retrouvait son père à 16 heures 30, lequel passait la soirée avec elle et l’amenait le jeudi matin à l’école. A la sortie de l’école, la fillette était ensuite récupérée par sa mère puis passait la soirée avec sa grand- mère maternelle. Ainsi, il n’y avait pas un jour de la semaine où la fillette quittait l’école avec le même parent que celui qui l’avait amenée à celle- ci. Assurément, ces changements de prise en charge incessants ne favorisent pas la stabilité requise pour un enfant de l’âge de B.B.________, ce d’autant plus que les domiciles des deux parents sont relativement éloignés. Les parents, dont les relations sont à ce point conflictuelles qu’ils ne souhaitent plus se rencontrer, n’ont pas à abuser des tiers (école, crèche, etc.) pour effectuer le passage de l’enfant sous peine de voir tous</w:t>
      </w:r>
    </w:p>
    <w:p>
      <w:r>
        <w:t>- 21 - les enfants de parents divorcés se promener continuellement avec leur valise. En outre, la garde alternée une semaine sur deux, comme requise par le recourant, pose d’autres problèmes. D’une part, cela reviendrait à confier B.B.________ à des tiers avant et après l’école alors que sa mère est disponible pour passer ces moments avec elle, ce qui doit être privilégié. De plus, B.B.________ est scolarisée à Rennaz. L’école est à plus de vingt kilomètres du domicile de son père, ce qui représente un certain nombre d’heures de trajet par semaine, trajets qui au surplus devraient être effectués par des tiers puisqu’ils seraient effectués pendant les heures de travail du père. Enfin, la fillette pourrait bénéficier de périodes supplémentaires de visites auprès de son père pendant la semaine, notamment durant les soirs où sa mère souhaiterait la faire garder, rien n’empêchant les parties de se mettre d’accord, ponctuellement et de manière évolutive sur ce mode de fonctionnement, sans que les magistrats doivent nécessairement se saisir de cette question. Les moyens invoqués par le recourant à ce titre sont donc mal fondés.</w:t>
      </w:r>
    </w:p>
    <w:p>
      <w:r>
        <w:rPr>
          <w:b/>
        </w:rPr>
        <w:t>E. 5</w:t>
      </w:r>
    </w:p>
    <w:p>
      <w:r>
        <w:t>En conclusion, le recours doit être rejeté et la décision entreprise confirmée. Les frais judiciaires du présent arrêt, arrêtés à 300 fr. (art. 74a al. 1 TFJC [tarif du 28 septembre 2010 des frais judiciaires civils, RSV 270.11.5]), sont mis à la charge du recourant. Par ces motifs, la Chambre des curatelles du Tribunal cantonal, statuant à huis clos, prononce : I. Le recours est rejeté.</w:t>
      </w:r>
    </w:p>
    <w:p>
      <w:r>
        <w:t>- 22 - II. La décision est confirmée. III. Les frais judiciaires de deuxième instance, arrêtés à 300 fr. (trois cents francs), sont mis à la charge du recourant A.H.________. IV. L'arrêt est exécutoire. La vice-présidente : La greffière : Du L'arrêt qui précède, dont la rédaction a été approuvée à huis clos, est notifié à : - Me Richard-Xavier Posse (pour A.H.________), - A.B.________, - Service de protection de la jeunesse, Unité d’évaluation et Missions spécifiques (UEMS), et communiqué à : - Justice de paix du district d’Aigle, - SPJ – Unité d’appui juridique,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