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LY16.020853 vom 12. September 2017</w:t>
      </w:r>
    </w:p>
    <w:p>
      <w:r>
        <w:t>VD Tribunal cantonal, 2017-09-12, FR</w:t>
      </w:r>
    </w:p>
    <w:p>
      <w:r>
        <w:rPr>
          <w:b/>
        </w:rPr>
        <w:t xml:space="preserve">Quelle: </w:t>
      </w:r>
      <w:r>
        <w:t>https://mcp.opencaselaw.ch/entscheid/vd_gerichte_LY16.020853</w:t>
      </w:r>
    </w:p>
    <w:p>
      <w:r>
        <w:t>FR: VD_GERICHTE LY16.020853 du 12 septembre 2017</w:t>
      </w:r>
    </w:p>
    <w:p>
      <w:r>
        <w:t>IT: VD_GERICHTE LY16.020853 del 12 settembre 2017</w:t>
      </w:r>
    </w:p>
    <w:p>
      <w:pPr>
        <w:pStyle w:val="Heading2"/>
      </w:pPr>
      <w:r>
        <w:t>Erwägungen</w:t>
      </w:r>
    </w:p>
    <w:p>
      <w:r>
        <w:rPr>
          <w:b/>
        </w:rPr>
        <w:t>E. 1</w:t>
      </w:r>
    </w:p>
    <w:p>
      <w:r>
        <w:t>Par acte du 14 juillet 2017, P.________ a recouru contre cette ordonnance en concluant, avec dépens, principalement à la réforme des chiffres I à III du dispositif en ce sens que le domicile légal de l’enfant A.L.________ est fixé au domicile de la mère, qui en a la garde de fait, que cette dernière est autorisée à transférer le lieu de résidence de sa fille en dehors du territoire suisse, plus précisément dans la région de [...] ([...]), à compter du 1er août 2017, et que le droit de visite de B.L.________ est fixé à dire de justice et sera adapté au domicile de l’enfant dans la région de [...]. Subsidiairement, elle a conclu à l’annulation de l’ordonnance et au renvoi de la cause à l’autorité de première instance pour nouvelle instruction et nouveau jugement dans le sens des considérants. Elle a produit un bordereau de seize pièces à l’appui de son écriture. Interpellé, le juge de paix a, par courrier du 18 juillet 2017, informé qu’il renonçait à se déterminer, se référant intégralement au contenu de l’ordonnance entreprise. Dans ses déterminations du 11 août 2017, le Service de protection de la jeunesse (ci-après : SPJ) a conclu au rejet du recours. Dans sa réponse du 14 août 2017, B.L.________ a conclu, avec dépens, au rejet du recours. Dans sa réplique du 21 août 2017, P.________ a confirmé les conclusions de son recours.</w:t>
      </w:r>
    </w:p>
    <w:p>
      <w:r>
        <w:t>- 4 - Par lettre du 11 septembre 2017, P.________ a demandé la fixation d’une audience à brève échéance afin d’entendre les parties.</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- 9 -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 Interpellé, le juge de paix a, par courrier du 18 juillet 2017, informé qu’il renonçait à se déterminer, se référant intégralement au contenu de l’ordonnance entreprise.</w:t>
      </w:r>
    </w:p>
    <w:p>
      <w:r>
        <w:rPr>
          <w:b/>
        </w:rPr>
        <w:t>E. 2</w:t>
      </w:r>
    </w:p>
    <w:p>
      <w:r>
        <w:t>- 10 -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recourante demande la fixation d’une audience afin de procéder à l’audition des parties.</w:t>
      </w:r>
    </w:p>
    <w:p>
      <w:r>
        <w:rPr>
          <w:b/>
        </w:rPr>
        <w:t>E. 2.2.1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w:t>
      </w:r>
    </w:p>
    <w:p>
      <w:r>
        <w:t>- 11 - 316 al. 1 CPC, disposition qui n’impose pas les débats en deuxième instance (ATF 139 III 257 a contrario ; Jeandin, CPC commenté, Bâle 2011, nn. 1 et 4 ad art. 316 CPC).</w:t>
      </w:r>
    </w:p>
    <w:p>
      <w:r>
        <w:rPr>
          <w:b/>
        </w:rPr>
        <w:t>E. 2.2.2</w:t>
      </w:r>
    </w:p>
    <w:p>
      <w:r>
        <w:t>En l’espèce, la Chambre de céans estime qu’elle est en mesure de statuer sur la base du dossier et qu’une audience ne se justifie pas. Les parties ont été auditionnées par le premier juge lors de son audience du 1er juin 2017 (art. 447 al. 1 CC) et la recourante a pu faire valoir l’ensemble de ses moyens dans le cadre de son recours. L’enfant A.L.________ était trop jeune pour être entendue. P.________ n’exposant pas pour quels motifs il faudrait procéder à une audition des parties, la mesure d’instruction tendant à la fixation d’une audience doit être rejetée.</w:t>
      </w:r>
    </w:p>
    <w:p>
      <w:r>
        <w:rPr>
          <w:b/>
        </w:rPr>
        <w:t>E. 3.1</w:t>
      </w:r>
    </w:p>
    <w:p>
      <w:r>
        <w:t>La recourante invoque une violation de l’art. 301a CC. Elle affirme que l’intérêt de l’enfant commande de continuer à vivre avec sa mère et de déménager avec elle à [...] auprès de sa famille maternelle. Elle fait valoir qu’elle est une bonne mère, que c’est principalement elle qui s’est occupée de sa fille depuis sa naissance et qu’elle en a toujours eu la garde. Elle ajoute qu’elle n’a plus d’attache en Suisse depuis sa séparation d’avec le père d’A.L.________, qu’elle ne projette pas de refaire sa vie à [...], qu’elle a trouvé un emploi à [...], qu’elle pourrait séjourner chez sa mère le temps de trouver un logement, que sa fille n’aurait aucune peine à s’adapter à son environnement dès lors qu’elle n’a pas encore débuté l’école et que le droit de visite du père pourrait tout à fait être aménagé en fonction de l’éloignement, notamment par le biais de plages plus longues pendant les vacances.</w:t>
      </w:r>
    </w:p>
    <w:p>
      <w:r>
        <w:rPr>
          <w:b/>
        </w:rPr>
        <w:t>E. 3.2</w:t>
      </w:r>
    </w:p>
    <w:p>
      <w:r>
        <w:t>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en vertu de l'art. 301a al. 2 CC, un parent titulaire de l'autorité parentale</w:t>
      </w:r>
    </w:p>
    <w:p>
      <w:r>
        <w:t>- 12 - conjointe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 et 8345 ; Meier/Stettler, Droit de la filiation, 5e éd., 2014, nn. 871 et 872, pp. 581 et 582 ; TF 5A_714/2015 du 28 avril 2016). En cas d’autorité parentale conjointe, le déménagement d’un parent à l’étranger fait l’objet d’une règle spéciale à l’art. 301a al. 2 let. a et b CC. A la différence d’un déménagement en Suisse (de façon générale, la liberté d’établissement et la liberté de mouvement des parents doivent être respectées),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FF 2011 p. 8345 ; Meier/Stettler, op. cit., n. 877, p. 587 ; Schwenzer/Cottier, Basler Kommentar, op. cit., n. 8 ad art. 301a CC, p. 1672).</w:t>
      </w:r>
    </w:p>
    <w:p>
      <w:r>
        <w:t>- 13 - La décision doit être prise à l’aune du bien de l’enfant, principe de droit constitutionnel qui s’applique à toute décision concernant celui-ci. L’autorité de protection ne doit pas déterminer s’il serait plus avantageux pour l’enfant que les deux parents restent en Suisse ; elle doit examiner si son bien-être est mieux protégé s’il suit le parent qui déménage ou s’il vit avec celui qui reste en Suisse, en tenant compte des adaptations possibles et nécessaires (prise en charge, droit de visite, entretien de l’enfant). Il faut procéder à un examen attentif au regard du bien de l’enfant, les circonstances du cas d’espèce étant déterminantes. Il est notamment important de savoir si l’enfant a déjà grandi dans un environnement bilingue ou s’il devra être scolarisé dans une langue nouvelle pour lui, s’il retrouvera sur place des membres de la famille qu’il connaît déjà et si la situation du parent qui veut émigrer sera raisonnablement stable sur place, familialement, socialement, économiquement. Les intérêts des parents doivent être relégués au second plan. Il peut arriver que le déménagement soit motivé par une volonté de rompre le lien entre l’enfant et l’autre parent ; un tel abus ne mérite pas la protection du droit (ATF 142 III 481 ss et 498 ss, résumés in Revue de la protection des mineurs et des adultes [RMA] 2016 pp. 349 à 352 et pp. 352 et 353).</w:t>
      </w:r>
    </w:p>
    <w:p>
      <w:r>
        <w:rPr>
          <w:b/>
        </w:rPr>
        <w:t>E. 3.3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1er septembre 2008 consid. 3 ; CCUR 13 février 2014/30 et les références citées).</w:t>
      </w:r>
    </w:p>
    <w:p>
      <w:r>
        <w:t>- 14 -</w:t>
      </w:r>
    </w:p>
    <w:p>
      <w:r>
        <w:rPr>
          <w:b/>
        </w:rPr>
        <w:t>E. 3.4</w:t>
      </w:r>
    </w:p>
    <w:p>
      <w:r>
        <w:t>En l’espèce, il ressort du dossier que les deux parents ont de bonnes compétences parentales, qu’ils sont tous deux aimants et adéquats avec leur fille, que cette dernière est très attachée à chacun d’eux et qu’elle leur démontre de la confiance et de l’affection. A.L.________ voit son père plusieurs fois par semaine. Celui-ci va en effet la chercher à la crèche les mercredis et vendredis et la prend également le dimanche. Dans son rapport du 22 mars 2017, le SPJ relève que B.L.________ s’occupe de sa fille de manière parfaitement adéquate, répondant à ses besoins avec naturel et efficacité, que les échanges entre eux sont empreints d’affection et qu’A.L.________ s’est montrée active et heureuse lors de la rencontre chez son père. Compte tenu du jeune âge d’A.L.________, il est important qu’elle puisse maintenir des contacts réguliers avec ses deux parents. Or, un départ de l’enfant dans un pays étranger, à plus de 700 km du domicile de son père, conduirait nécessairement à des contacts épisodiques, ce qui porterait atteinte au lien qui les unit et ne pourrait que péjorer considérablement la qualité des bonnes relations entre eux. En effet, les enfants en bas âge (en principe moins de trois ans) profitent souvent mieux de rencontres de quelques heures, fréquentes et pas trop espacées dans le temps, plutôt que de week-ends « intensifs » toutes les deux ou trois semaines (Meier/Stettler, op. cit., n. 768, p. 504 ; Leuba, Commentaire romand, Code civil I, Art. 1- 359 CC, Bâle 2010, n. 14 ad art. 273 CC, p. 1715). Des visites courtes mais fréquentes sont évidemment incompatibles avec la distance qui sépare [...] de [...]. La nécessité de maintenir des visites fréquentes entre A.L.________ et son père est d’autant plus importante que le lien père-fille est en pleine construction. Il résulte de ce qui précède que l’intérêt de l’enfant commande de confirmer l’interdiction de transférer le lieu de résidence d’A.L.________ en dehors du territoire suisse et donc de rejeter le recours. Par surabondance, il est de toute façon prématuré d’autoriser un transfert de résidence de l’enfant à l’étranger au stade des mesures provisionnelles et de prendre ainsi le risque d’une décision contraire au</w:t>
      </w:r>
    </w:p>
    <w:p>
      <w:r>
        <w:t>- 15 - fond, avec les conséquences que cela impliquerait. De plus, ce transfert ne revêt pas un caractère d’urgence, le fait que la recourante soutient avoir trouvé un emploi n’étant pas suffisant de ce point de vue.</w:t>
      </w:r>
    </w:p>
    <w:p>
      <w:r>
        <w:rPr>
          <w:b/>
        </w:rPr>
        <w:t>E. 4.1</w:t>
      </w:r>
    </w:p>
    <w:p>
      <w:r>
        <w:t>En conclusion, le recours de P.________ doit être rejeté et l’ordonnance entreprise confirmée.</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4.2.2</w:t>
      </w:r>
    </w:p>
    <w:p>
      <w:r>
        <w:t>P.________ a requis l’assistance judiciaire pour la procédure de recours. Il y a lieu de lui accorder le bénéfice de l’assistance judiciaire pour dite procédure, les conditions précitées étant remplies, et de désigner Me Adrienne Favre en qualité de conseil d’office. Dans sa liste des opérations du 21 août 2017, l’avocate précitée indique avoir consacré 6 heures 15 à l’exécution de son mandat et allègue avoir supporté 8 fr. 30 de débours, TVA en sus. Cette liste peut être admise. Compte tenu d’un tarif horaire de 180 fr. hors TVA (art. 2 al. 1 let. a RAJ [Règlement du 7 décembre 2010 sur l'assistance judiciaire en matière civile ; RSV 211.02.3]), ses honoraires doivent être arrêtée à 1’125 fr. (6h15 x 180 fr.), auxquels doivent s’ajouter 90 fr. de TVA et les débours, par 8 fr. 30, plus 70 centimes de TVA (art. 2 al. 3 RAJ). L’indemnité d’office de Me Adrienne Favre doit ainsi être arrêtée à 1'224 fr. (1’125 fr. + 90 fr. + 8 fr. 30 + 70 ct), TVA et débours compris.</w:t>
      </w:r>
    </w:p>
    <w:p>
      <w:r>
        <w:t>- 16 -</w:t>
      </w:r>
    </w:p>
    <w:p>
      <w:r>
        <w:rPr>
          <w:b/>
        </w:rPr>
        <w:t>E. 4.2.3</w:t>
      </w:r>
    </w:p>
    <w:p>
      <w:r>
        <w:t>Par ordonnance du 8 août 2017, B.L.________ a été mis au bénéfice de l’assistance judiciaire, avec effet au 7 août 2017. Dans sa liste des opérations et débours du 21 août 2017, Me Manuela Ryter Godel allègue avoir consacré 8 heures 35 à l’exécution de son mandat. Cette liste peut être admise. Compte tenu d’un tarif horaire de 180 fr. hors TVA (art. 2 al. 1 let. a RAJ), l’indemnité d’office de l’avocate précitée doit être arrêtée à 1’545 fr., à laquelle il convient d’ajouter la TVA à 8%, par 123 fr. 60, soit un total de 1'668 fr. 60. L’avocate requiert également le défraiement de ses débours, qu’il convient de lui allouer à hauteur de 50 fr., auxquels il convient d’ajouter la TVA à 8%, par 4 fr., soit un total de 54 fr. (art. 2 al. 3 RAJ). En définitive, l’indemnité d'office de Me Manuela Ryter Godel doit être arrêtée à 1'722 fr. 60 (1'545 fr. + 123 fr. 60 + 50 fr. + 4 fr.), TVA et débours compris.</w:t>
      </w:r>
    </w:p>
    <w:p>
      <w:r>
        <w:rPr>
          <w:b/>
        </w:rPr>
        <w:t>E. 4.2.4</w:t>
      </w:r>
    </w:p>
    <w:p>
      <w:r>
        <w:t>Les bénéficiaires de l’assistance judiciaire sont, dans la mesure de l’art. 123 CPC, tenus au remboursement des frais judiciaires et de l’indemnité à leur conseil d’office mis à la charge de l’Etat.</w:t>
      </w:r>
    </w:p>
    <w:p>
      <w:r>
        <w:rPr>
          <w:b/>
        </w:rPr>
        <w:t>E. 4.3</w:t>
      </w:r>
    </w:p>
    <w:p>
      <w:r>
        <w:t>Vu l’issue du litige et de l’octroi de l’assistance judiciaire à la recourante, les frais judiciaires de deuxième instance, arrêtés à 300 fr. (art. 74a al. 1 TFJC [Tarif du 28 septembre 2010 des frais judiciaires civils ; RSV 270.11.5]), sont provisoirement laissés à la charge de l’Etat. Obtenant gain de cause, B.L.________, qui a procédé par l'intermédiaire d'un mandataire professionnel, a droit à des dépens de deuxième instance, qu'il convient d’arrêter à 2’000 fr. et de mettre à la charge de la recourante (art. 95, 96 et 106 al. 1 CPC).</w:t>
      </w:r>
    </w:p>
    <w:p>
      <w:r>
        <w:rPr>
          <w:b/>
        </w:rPr>
        <w:t>E. 4.4</w:t>
      </w:r>
    </w:p>
    <w:p>
      <w:r>
        <w:t>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w:t>
      </w:r>
    </w:p>
    <w:p>
      <w:r>
        <w:t>- 17 - rectification lorsqu'une erreur patente est manifestement due à une inadvertance (Schweizer, CPC commenté, n. 11 ad art. 334 CPC, p. 1309). En l’espèce, le dispositif envoyé aux parties le 12 septembre 2017 mentionne de manière erronée au chiffre V que l’indemnité d’office allouée à Me Adrienne Favre, conseil de P.________, est arrêtée à 1'274 fr. 40, TVA et débours compris, au lieu de 1'224 fr., TVA et débours compris, et que celle allouée à Me Manuela Ryter Godel, conseil de B.L.________, est arrêtée à 1'677 fr. 20, TVA et débours compris, au lieu de 1'722 fr. 60, TVA et débours compris. Il doit être rectifié d’office en ce sens. Par ces motifs, la Chambre des curatelles du Tribunal cantonal, statuant à huis clos, prononce : I. Le recours est rejeté. II. L’ordonnance est confirmée. III. La requête d’assistance judiciaire de la recourante P.________ est admise, Me Adrienne Favre étant désignée en qualité de conseil d’office dans la procédure de recours. IV. Les frais judiciaires de deuxième instance, arrêtés à 300 fr. (trois cents francs), sont provisoirement laissés à la charge de l’Etat. V. L’indemnité d’office de Me Adrienne Favre, conseil de la recourante P.________, est arrêtée à 1'224 fr. (mille deux cent vingt-quatre francs), TVA et débours compris, et celle de Me Manuela Ryter Godel, conseil de l’intimé B.L.________, à 1'722</w:t>
      </w:r>
    </w:p>
    <w:p>
      <w:r>
        <w:t>- 18 - fr. 60 (mille sept cent vingt-deux francs et soixante centimes), TVA et débours compris. VI. Les bénéficiaires de l’assistance judiciaire sont, dans la mesure de l’art. 123 CPC, tenus au remboursement des frais judiciaires et de l’indemnité à leur conseil d’office mis à la charge de l’Etat. VII. La recourante P.________ doit verser à l’intimé B.L.________ la somme de 2'000 fr. (deux mille francs), à titre de dépens de deuxième instance. VIII. L'arrêt motivé est exécutoire. La présidente : La greffière : Du L'arrêt qui précède, dont le dispositif a été communiqué par écrit aux intéressés le 12 septembre 2017, est notifié à : - Me Adrienne Favre (pour P.________), - Me Manuela Ryter Godel (pour B.L.________), et communiqué à : - Mme la Juge de paix du district du Jura-Nord vaudois, - Service de protection de la Jeunesse, Unité UEMS, - Service de protection de la Jeunesse, Unité d’appui juridique,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